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21661E7" w14:textId="77777777" w:rsidR="00641000" w:rsidRPr="00C85F7E" w:rsidRDefault="00641000" w:rsidP="00C85F7E">
      <w:pPr>
        <w:pStyle w:val="Title"/>
        <w:rPr>
          <w:sz w:val="28"/>
          <w:szCs w:val="28"/>
        </w:rPr>
      </w:pPr>
      <w:bookmarkStart w:id="0" w:name="_Toc184813408"/>
      <w:r w:rsidRPr="00C85F7E">
        <w:rPr>
          <w:sz w:val="28"/>
          <w:szCs w:val="28"/>
        </w:rPr>
        <w:t xml:space="preserve">ERC </w:t>
      </w:r>
      <w:r w:rsidR="00A55A11">
        <w:rPr>
          <w:sz w:val="28"/>
          <w:szCs w:val="28"/>
        </w:rPr>
        <w:t>Advanced</w:t>
      </w:r>
      <w:r w:rsidR="00A55A11" w:rsidRPr="00C85F7E">
        <w:rPr>
          <w:sz w:val="28"/>
          <w:szCs w:val="28"/>
        </w:rPr>
        <w:t xml:space="preserve"> </w:t>
      </w:r>
      <w:r w:rsidRPr="00C85F7E">
        <w:rPr>
          <w:sz w:val="28"/>
          <w:szCs w:val="28"/>
        </w:rPr>
        <w:t>Grant</w:t>
      </w:r>
      <w:r w:rsidR="00E62AF2" w:rsidRPr="00C85F7E">
        <w:rPr>
          <w:sz w:val="28"/>
          <w:szCs w:val="28"/>
        </w:rPr>
        <w:t xml:space="preserve"> </w:t>
      </w:r>
      <w:r w:rsidR="00126F86" w:rsidRPr="00C85F7E">
        <w:rPr>
          <w:sz w:val="28"/>
          <w:szCs w:val="28"/>
        </w:rPr>
        <w:t>20</w:t>
      </w:r>
      <w:r w:rsidR="00F9646A">
        <w:rPr>
          <w:sz w:val="28"/>
          <w:szCs w:val="28"/>
        </w:rPr>
        <w:t>20</w:t>
      </w:r>
    </w:p>
    <w:p w14:paraId="7FB694E9" w14:textId="1B27B0DE" w:rsidR="00641000" w:rsidRPr="00C85F7E" w:rsidRDefault="00641000" w:rsidP="00C85F7E">
      <w:pPr>
        <w:pStyle w:val="Title"/>
        <w:rPr>
          <w:sz w:val="28"/>
          <w:szCs w:val="28"/>
        </w:rPr>
      </w:pPr>
      <w:r w:rsidRPr="00C85F7E">
        <w:rPr>
          <w:sz w:val="28"/>
          <w:szCs w:val="28"/>
        </w:rPr>
        <w:t>Part B</w:t>
      </w:r>
      <w:r w:rsidR="002431CB">
        <w:rPr>
          <w:sz w:val="28"/>
          <w:szCs w:val="28"/>
        </w:rPr>
        <w:t>2</w:t>
      </w:r>
      <w:r w:rsidR="00E66281" w:rsidRPr="00C85F7E" w:rsidDel="00E66281">
        <w:rPr>
          <w:rStyle w:val="FootnoteReference"/>
          <w:sz w:val="28"/>
          <w:szCs w:val="28"/>
        </w:rPr>
        <w:t xml:space="preserve"> </w:t>
      </w:r>
    </w:p>
    <w:p w14:paraId="1A7B9F1D" w14:textId="77777777" w:rsidR="00B92069" w:rsidRPr="00C85F7E" w:rsidRDefault="00B92069" w:rsidP="00C85F7E">
      <w:pPr>
        <w:pStyle w:val="Title"/>
        <w:rPr>
          <w:i/>
          <w:iCs/>
          <w:sz w:val="28"/>
          <w:szCs w:val="28"/>
        </w:rPr>
      </w:pPr>
      <w:r w:rsidRPr="00C85F7E">
        <w:rPr>
          <w:i/>
          <w:iCs/>
          <w:sz w:val="28"/>
          <w:szCs w:val="28"/>
        </w:rPr>
        <w:t>(</w:t>
      </w:r>
      <w:r w:rsidR="0029699C" w:rsidRPr="00C85F7E">
        <w:rPr>
          <w:i/>
          <w:iCs/>
          <w:sz w:val="28"/>
          <w:szCs w:val="28"/>
          <w:u w:val="single"/>
        </w:rPr>
        <w:t>not</w:t>
      </w:r>
      <w:r w:rsidR="008307A2">
        <w:rPr>
          <w:i/>
          <w:iCs/>
          <w:sz w:val="28"/>
          <w:szCs w:val="28"/>
        </w:rPr>
        <w:t xml:space="preserve"> evaluated in S</w:t>
      </w:r>
      <w:r w:rsidR="0029699C" w:rsidRPr="00C85F7E">
        <w:rPr>
          <w:i/>
          <w:iCs/>
          <w:sz w:val="28"/>
          <w:szCs w:val="28"/>
        </w:rPr>
        <w:t>tep 1</w:t>
      </w:r>
      <w:r w:rsidRPr="00C85F7E">
        <w:rPr>
          <w:i/>
          <w:iCs/>
          <w:sz w:val="28"/>
          <w:szCs w:val="28"/>
        </w:rPr>
        <w:t>)</w:t>
      </w:r>
    </w:p>
    <w:bookmarkEnd w:id="0"/>
    <w:p w14:paraId="7DB8CD25" w14:textId="77777777" w:rsidR="009B49FA" w:rsidRPr="0066573F" w:rsidRDefault="009B49FA" w:rsidP="0066573F">
      <w:pPr>
        <w:spacing w:before="0" w:after="0" w:line="240" w:lineRule="auto"/>
        <w:rPr>
          <w:b/>
          <w:bCs/>
          <w:sz w:val="20"/>
          <w:szCs w:val="20"/>
          <w:u w:val="single"/>
        </w:rPr>
      </w:pPr>
    </w:p>
    <w:p w14:paraId="573F9EAE" w14:textId="71BA24FD" w:rsidR="00641000" w:rsidRDefault="002431CB" w:rsidP="00C85F7E">
      <w:pPr>
        <w:spacing w:before="120"/>
        <w:rPr>
          <w:b/>
          <w:bCs/>
          <w:szCs w:val="22"/>
        </w:rPr>
      </w:pPr>
      <w:r>
        <w:rPr>
          <w:b/>
          <w:bCs/>
          <w:szCs w:val="22"/>
        </w:rPr>
        <w:t xml:space="preserve">Section </w:t>
      </w:r>
      <w:r w:rsidR="00B92069" w:rsidRPr="00C85F7E">
        <w:rPr>
          <w:b/>
          <w:bCs/>
          <w:szCs w:val="22"/>
        </w:rPr>
        <w:t>a</w:t>
      </w:r>
      <w:r w:rsidR="00641000" w:rsidRPr="00C85F7E">
        <w:rPr>
          <w:b/>
          <w:bCs/>
          <w:szCs w:val="22"/>
        </w:rPr>
        <w:t>. State-of-the-art and objectives</w:t>
      </w:r>
    </w:p>
    <w:p w14:paraId="0D29F9FF" w14:textId="77777777" w:rsidR="0066573F" w:rsidRPr="0066573F" w:rsidRDefault="0066573F" w:rsidP="0066573F">
      <w:pPr>
        <w:spacing w:before="0" w:after="0" w:line="240" w:lineRule="auto"/>
        <w:rPr>
          <w:sz w:val="13"/>
          <w:szCs w:val="15"/>
        </w:rPr>
      </w:pPr>
    </w:p>
    <w:p w14:paraId="58C09330" w14:textId="42890326" w:rsidR="0066573F" w:rsidRDefault="0066573F" w:rsidP="0083513C">
      <w:pPr>
        <w:pStyle w:val="Hdng1"/>
      </w:pPr>
      <w:r>
        <w:t>Executive summary</w:t>
      </w:r>
    </w:p>
    <w:p w14:paraId="0DABBAB5" w14:textId="34F68606" w:rsidR="000F259A" w:rsidRDefault="00B53A92" w:rsidP="00E56340">
      <w:r>
        <w:t>Recent advances in the laser-driven acceleration of charged</w:t>
      </w:r>
      <w:r w:rsidR="000F390C">
        <w:t>-</w:t>
      </w:r>
      <w:r>
        <w:t xml:space="preserve">particle beams make it possible to conceive of </w:t>
      </w:r>
      <w:r w:rsidR="002665E0">
        <w:t xml:space="preserve">new </w:t>
      </w:r>
      <w:r>
        <w:t xml:space="preserve">proton and ion sources capable of </w:t>
      </w:r>
      <w:r w:rsidR="002665E0">
        <w:t xml:space="preserve">creating new directions for the exploitation of </w:t>
      </w:r>
      <w:r>
        <w:t xml:space="preserve">particle </w:t>
      </w:r>
      <w:r w:rsidR="000F390C">
        <w:t xml:space="preserve">beams </w:t>
      </w:r>
      <w:r w:rsidR="002665E0">
        <w:t xml:space="preserve">for science and society.  </w:t>
      </w:r>
      <w:r w:rsidR="00C67EAB">
        <w:t>High-power, short-pulse lasers, which deliver an energy of around a Joule in pulses that are as short as 25 fs (25 </w:t>
      </w:r>
      <w:r w:rsidR="00C67EAB">
        <w:sym w:font="Symbol" w:char="F0B4"/>
      </w:r>
      <w:r w:rsidR="00C67EAB">
        <w:t> 10</w:t>
      </w:r>
      <w:r w:rsidR="00450102" w:rsidRPr="00450102">
        <w:rPr>
          <w:vertAlign w:val="superscript"/>
        </w:rPr>
        <w:t>-</w:t>
      </w:r>
      <w:r w:rsidR="00C67EAB" w:rsidRPr="00C67EAB">
        <w:rPr>
          <w:vertAlign w:val="superscript"/>
        </w:rPr>
        <w:t>15</w:t>
      </w:r>
      <w:r w:rsidR="00C67EAB">
        <w:t xml:space="preserve"> s), are used to study the properties of matter exposed to extremely high energy density.  </w:t>
      </w:r>
      <w:r w:rsidR="00F36FF6">
        <w:t>Such lasers are also routinely used to produce beams of photons, electrons</w:t>
      </w:r>
      <w:r w:rsidR="000F259A">
        <w:t xml:space="preserve"> and</w:t>
      </w:r>
      <w:r w:rsidR="00F36FF6">
        <w:t xml:space="preserve"> protons.  </w:t>
      </w:r>
      <w:r w:rsidR="00844816">
        <w:t>While p</w:t>
      </w:r>
      <w:r w:rsidR="00F36FF6">
        <w:t xml:space="preserve">roton kinetic energies as high as </w:t>
      </w:r>
      <w:r w:rsidR="00F36FF6">
        <w:rPr>
          <w:color w:val="FF0000"/>
        </w:rPr>
        <w:t>XX MeV</w:t>
      </w:r>
      <w:r w:rsidR="00F36FF6">
        <w:t xml:space="preserve"> have been produced</w:t>
      </w:r>
      <w:r w:rsidR="000F390C">
        <w:t xml:space="preserve"> in the laser-excitation of a </w:t>
      </w:r>
      <w:r w:rsidR="000F390C">
        <w:rPr>
          <w:color w:val="FF0000"/>
        </w:rPr>
        <w:t>YY-foil</w:t>
      </w:r>
      <w:r w:rsidR="000F390C">
        <w:t xml:space="preserve"> target</w:t>
      </w:r>
      <w:r w:rsidR="00844816">
        <w:t>, the flux produced in the laser-target interaction often varies substantially from one laser shot to the next</w:t>
      </w:r>
      <w:r w:rsidR="000F390C">
        <w:t xml:space="preserve">.  A number of initiatives in Europe and across the world seek to </w:t>
      </w:r>
      <w:r w:rsidR="00680886">
        <w:t>deliver</w:t>
      </w:r>
      <w:r w:rsidR="00DE3462">
        <w:t xml:space="preserve"> laser-driven proton and</w:t>
      </w:r>
      <w:r w:rsidR="00680886">
        <w:t xml:space="preserve"> </w:t>
      </w:r>
      <w:r w:rsidR="000F390C">
        <w:t>ion</w:t>
      </w:r>
      <w:r w:rsidR="00DE3462">
        <w:t xml:space="preserve"> beams with kinetic energies of up to 250 MeV </w:t>
      </w:r>
      <w:r w:rsidR="000F390C">
        <w:t>for research</w:t>
      </w:r>
      <w:r w:rsidR="00FE395F">
        <w:t>.</w:t>
      </w:r>
      <w:r w:rsidR="00E56340">
        <w:t xml:space="preserve">  I seek the resources to take a contrasting, complementary approach in which </w:t>
      </w:r>
      <w:r w:rsidR="00DE3462">
        <w:t>the</w:t>
      </w:r>
      <w:r w:rsidR="00E56340">
        <w:t xml:space="preserve"> large flux of protons </w:t>
      </w:r>
      <w:r w:rsidR="00DE3462">
        <w:t>produced at ~</w:t>
      </w:r>
      <w:r w:rsidR="00E56340">
        <w:t xml:space="preserve">15 MeV </w:t>
      </w:r>
      <w:r w:rsidR="00DE3462">
        <w:t xml:space="preserve">is captured </w:t>
      </w:r>
      <w:r w:rsidR="00464E2C">
        <w:t xml:space="preserve">and </w:t>
      </w:r>
      <w:r w:rsidR="00E56340">
        <w:t>formed into a beam</w:t>
      </w:r>
      <w:r w:rsidR="000F259A">
        <w:t xml:space="preserve">, thereby </w:t>
      </w:r>
      <w:r w:rsidR="00EB4741">
        <w:t>controlling the shot-to-shot variation of the laser-driven flux</w:t>
      </w:r>
      <w:r w:rsidR="00DE3462">
        <w:t xml:space="preserve"> and preparing the beam for </w:t>
      </w:r>
      <w:r w:rsidR="00844816">
        <w:t xml:space="preserve">further </w:t>
      </w:r>
      <w:r w:rsidR="00DE3462">
        <w:t>acceleration</w:t>
      </w:r>
      <w:r w:rsidR="00EB4741">
        <w:t>.</w:t>
      </w:r>
    </w:p>
    <w:p w14:paraId="2A3A6ECD" w14:textId="708052D1" w:rsidR="000F259A" w:rsidRDefault="0016304A" w:rsidP="00FA3387">
      <w:pPr>
        <w:pStyle w:val="NxtPara"/>
      </w:pPr>
      <w:r w:rsidRPr="0016304A">
        <w:t>Conventional ion sources produc</w:t>
      </w:r>
      <w:r>
        <w:t>e</w:t>
      </w:r>
      <w:r w:rsidRPr="0016304A">
        <w:t xml:space="preserve"> ions with </w:t>
      </w:r>
      <w:r>
        <w:t xml:space="preserve">kinetic </w:t>
      </w:r>
      <w:r w:rsidRPr="0016304A">
        <w:t xml:space="preserve">energies of the order 60 keV.  </w:t>
      </w:r>
      <w:r>
        <w:t xml:space="preserve">At such a low energy the mutual repulsion of the ions, the </w:t>
      </w:r>
      <w:r w:rsidR="00B2112F">
        <w:t>“</w:t>
      </w:r>
      <w:r>
        <w:t>s</w:t>
      </w:r>
      <w:r w:rsidRPr="0016304A">
        <w:t>pace-charge effect</w:t>
      </w:r>
      <w:r w:rsidR="00B2112F">
        <w:t>”</w:t>
      </w:r>
      <w:r>
        <w:t>,</w:t>
      </w:r>
      <w:r w:rsidRPr="0016304A">
        <w:t xml:space="preserve"> limit</w:t>
      </w:r>
      <w:r>
        <w:t xml:space="preserve">s </w:t>
      </w:r>
      <w:r w:rsidRPr="0016304A">
        <w:t xml:space="preserve">the </w:t>
      </w:r>
      <w:r>
        <w:t xml:space="preserve">instantaneous dose-rate </w:t>
      </w:r>
      <w:r w:rsidRPr="0016304A">
        <w:t xml:space="preserve">that can be </w:t>
      </w:r>
      <w:r>
        <w:t xml:space="preserve">captured </w:t>
      </w:r>
      <w:r w:rsidRPr="0016304A">
        <w:t xml:space="preserve">to relatively modest values (of order </w:t>
      </w:r>
      <w:r w:rsidRPr="0016304A">
        <w:rPr>
          <w:color w:val="FF0000"/>
        </w:rPr>
        <w:t>ZZ</w:t>
      </w:r>
      <w:r>
        <w:rPr>
          <w:color w:val="FF0000"/>
        </w:rPr>
        <w:t xml:space="preserve">Z protons per pulse </w:t>
      </w:r>
      <w:r w:rsidRPr="0016304A">
        <w:t>100 </w:t>
      </w:r>
      <w:r w:rsidRPr="0016304A">
        <w:sym w:font="Symbol" w:char="F06D"/>
      </w:r>
      <w:r w:rsidRPr="0016304A">
        <w:t xml:space="preserve">A [Osmic2012]).  </w:t>
      </w:r>
      <w:r>
        <w:t xml:space="preserve">I </w:t>
      </w:r>
      <w:r w:rsidRPr="0016304A">
        <w:t xml:space="preserve">propose to evade </w:t>
      </w:r>
      <w:r w:rsidR="000A216F">
        <w:t>the current space-charge limit</w:t>
      </w:r>
      <w:r w:rsidRPr="0016304A">
        <w:t xml:space="preserve"> </w:t>
      </w:r>
      <w:r w:rsidR="00B2112F">
        <w:t xml:space="preserve">using a “hybrid” approach that exploits a series of strong-focusing non-neutral (electron) plasma lenses. </w:t>
      </w:r>
      <w:r w:rsidRPr="0016304A">
        <w:t xml:space="preserve"> </w:t>
      </w:r>
      <w:r w:rsidR="00FA3387">
        <w:t xml:space="preserve">My </w:t>
      </w:r>
      <w:r w:rsidRPr="0016304A">
        <w:t xml:space="preserve">hybrid approach </w:t>
      </w:r>
      <w:r w:rsidR="00FA3387">
        <w:t xml:space="preserve">will </w:t>
      </w:r>
      <w:r w:rsidRPr="0016304A">
        <w:t>harness the unique properties of the laser-driven source</w:t>
      </w:r>
      <w:r w:rsidR="00FA3387">
        <w:t>;</w:t>
      </w:r>
      <w:r w:rsidRPr="0016304A">
        <w:t xml:space="preserve"> delivery of a range of ion species (p</w:t>
      </w:r>
      <w:r w:rsidR="00B2112F">
        <w:t>rotons</w:t>
      </w:r>
      <w:r w:rsidRPr="0016304A">
        <w:t xml:space="preserve"> to </w:t>
      </w:r>
      <w:r w:rsidRPr="00B2112F">
        <w:rPr>
          <w:i/>
          <w:iCs/>
        </w:rPr>
        <w:t>C</w:t>
      </w:r>
      <w:r w:rsidRPr="00B2112F">
        <w:rPr>
          <w:vertAlign w:val="superscript"/>
        </w:rPr>
        <w:t>6+</w:t>
      </w:r>
      <w:r w:rsidRPr="0016304A">
        <w:t xml:space="preserve">) from a single source in ultra-short pulses that each deliver an enormous instantaneous dose. </w:t>
      </w:r>
      <w:r w:rsidR="00B2112F">
        <w:t xml:space="preserve"> </w:t>
      </w:r>
      <w:r w:rsidRPr="0016304A">
        <w:t>The successful demonstration of efficient capture and cylindrically</w:t>
      </w:r>
      <w:r w:rsidR="00B2112F">
        <w:t xml:space="preserve"> </w:t>
      </w:r>
      <w:r w:rsidRPr="0016304A">
        <w:t xml:space="preserve">symmetric electrostatic focusing will be an important step towards the exploitation of laser-driven </w:t>
      </w:r>
      <w:r w:rsidR="00FA3387">
        <w:t xml:space="preserve">ion </w:t>
      </w:r>
      <w:r w:rsidRPr="0016304A">
        <w:t>beams.</w:t>
      </w:r>
    </w:p>
    <w:p w14:paraId="2F5E9C84" w14:textId="77777777" w:rsidR="000B0863" w:rsidRDefault="000B0863" w:rsidP="00FA3387">
      <w:pPr>
        <w:pStyle w:val="NxtPara"/>
      </w:pPr>
      <w:r>
        <w:t>The novel source outlined above is at the heart of my concept for a compact, laser-hybrid proton- and ion-beam accelerator system by which:</w:t>
      </w:r>
    </w:p>
    <w:p w14:paraId="61C07267" w14:textId="69ABFA0B" w:rsidR="00FA3387" w:rsidRDefault="000B0863" w:rsidP="000B0863">
      <w:pPr>
        <w:pStyle w:val="ListParagraph"/>
        <w:numPr>
          <w:ilvl w:val="0"/>
          <w:numId w:val="3"/>
        </w:numPr>
      </w:pPr>
      <w:r>
        <w:t xml:space="preserve">Clinicians will be able to deliver particle-beam therapy (PBT) </w:t>
      </w:r>
      <w:r w:rsidRPr="000B0863">
        <w:t xml:space="preserve">in a completely new regimen, combining a variety of ion species in a single treatment fraction and exploiting ultra-high dose rates </w:t>
      </w:r>
      <w:r>
        <w:t xml:space="preserve">in a variety of spatial and spectral fractionation schemes; and </w:t>
      </w:r>
    </w:p>
    <w:p w14:paraId="357B38B1" w14:textId="710D23A0" w:rsidR="000B0863" w:rsidRDefault="000B0863" w:rsidP="000B0863">
      <w:pPr>
        <w:pStyle w:val="ListParagraph"/>
        <w:numPr>
          <w:ilvl w:val="0"/>
          <w:numId w:val="3"/>
        </w:numPr>
      </w:pPr>
      <w:r>
        <w:t xml:space="preserve">A large, distributed network of </w:t>
      </w:r>
      <w:r w:rsidR="003917F6">
        <w:t xml:space="preserve">automated </w:t>
      </w:r>
      <w:r>
        <w:t xml:space="preserve">PBT systems can be provided to </w:t>
      </w:r>
      <w:r w:rsidR="00DD67EF">
        <w:t>deliver</w:t>
      </w:r>
      <w:r>
        <w:t xml:space="preserve"> precise, personalised</w:t>
      </w:r>
      <w:r w:rsidR="003917F6">
        <w:t>, multi-species care to the many by reducing the need for an extensive beam-delivery system and a large gantry.</w:t>
      </w:r>
    </w:p>
    <w:p w14:paraId="7C7B68E6" w14:textId="77777777" w:rsidR="00537D7B" w:rsidRDefault="00D173D9" w:rsidP="00F069B1">
      <w:r>
        <w:t>I propose to</w:t>
      </w:r>
      <w:r w:rsidR="00537D7B">
        <w:t>:</w:t>
      </w:r>
    </w:p>
    <w:p w14:paraId="27D1A8F7" w14:textId="77777777" w:rsidR="00537D7B" w:rsidRDefault="00537D7B" w:rsidP="00537D7B">
      <w:pPr>
        <w:pStyle w:val="ListParagraph"/>
        <w:numPr>
          <w:ilvl w:val="0"/>
          <w:numId w:val="4"/>
        </w:numPr>
      </w:pPr>
      <w:r>
        <w:t>Prove the principle of laser-driven injection of a large instantaneous flux of high-energy protons into a novel strong-focusing plasma lens;</w:t>
      </w:r>
    </w:p>
    <w:p w14:paraId="314BDCE1" w14:textId="77777777" w:rsidR="00537D7B" w:rsidRDefault="00537D7B" w:rsidP="00537D7B">
      <w:pPr>
        <w:pStyle w:val="ListParagraph"/>
        <w:numPr>
          <w:ilvl w:val="0"/>
          <w:numId w:val="4"/>
        </w:numPr>
      </w:pPr>
      <w:r>
        <w:t>Demonstrate the efficient capture and transport of the laser-created ion beam; and</w:t>
      </w:r>
    </w:p>
    <w:p w14:paraId="466572B6" w14:textId="77777777" w:rsidR="00537D7B" w:rsidRDefault="00537D7B" w:rsidP="00537D7B">
      <w:pPr>
        <w:pStyle w:val="ListParagraph"/>
        <w:numPr>
          <w:ilvl w:val="0"/>
          <w:numId w:val="4"/>
        </w:numPr>
      </w:pPr>
      <w:r>
        <w:t>Carry out initial in-vitro radiobiological measurements using the laser-hybrid technique.</w:t>
      </w:r>
    </w:p>
    <w:p w14:paraId="6CB974D0" w14:textId="0CF2F507" w:rsidR="00B2112F" w:rsidRDefault="0083513C" w:rsidP="00F069B1">
      <w:r>
        <w:t xml:space="preserve">By executing this </w:t>
      </w:r>
      <w:proofErr w:type="gramStart"/>
      <w:r>
        <w:t>programme</w:t>
      </w:r>
      <w:proofErr w:type="gramEnd"/>
      <w:r>
        <w:t xml:space="preserve"> I will demonstrate the feasibility of the laser-hybrid technique, </w:t>
      </w:r>
      <w:r w:rsidR="00537D7B">
        <w:t xml:space="preserve">lay the </w:t>
      </w:r>
      <w:r>
        <w:t xml:space="preserve">technological </w:t>
      </w:r>
      <w:r w:rsidR="00537D7B">
        <w:t>foundation</w:t>
      </w:r>
      <w:r>
        <w:t>s</w:t>
      </w:r>
      <w:r w:rsidR="00537D7B">
        <w:t xml:space="preserve"> for the development of the Laser-hybrid Accelerator for Radiobiological Applications</w:t>
      </w:r>
      <w:r>
        <w:t xml:space="preserve"> (LhARA), and pave the way for paradigm shift in the clinical exploitation of </w:t>
      </w:r>
      <w:proofErr w:type="spellStart"/>
      <w:r>
        <w:t>muli</w:t>
      </w:r>
      <w:proofErr w:type="spellEnd"/>
      <w:r>
        <w:t>-species particle-beam therapy.</w:t>
      </w:r>
    </w:p>
    <w:p w14:paraId="3FB0C483" w14:textId="323610D3" w:rsidR="00DF0DC2" w:rsidRDefault="0093032C" w:rsidP="0083513C">
      <w:pPr>
        <w:pStyle w:val="Hdng1"/>
      </w:pPr>
      <w:r>
        <w:t>a1. Scientific justification</w:t>
      </w:r>
    </w:p>
    <w:p w14:paraId="56278286" w14:textId="25251038" w:rsidR="0093032C" w:rsidRDefault="0093032C" w:rsidP="008E7D4B">
      <w:pPr>
        <w:pStyle w:val="Hdng2"/>
      </w:pPr>
      <w:r w:rsidRPr="009261C5">
        <w:t xml:space="preserve">a1.1 </w:t>
      </w:r>
      <w:r>
        <w:t>Overarching vision</w:t>
      </w:r>
    </w:p>
    <w:p w14:paraId="51ECED51" w14:textId="1FD13302" w:rsidR="0081366C" w:rsidRDefault="0081366C" w:rsidP="0081366C">
      <w:r>
        <w:t xml:space="preserve">Particle-beam therapy delivery to date has been restricted to a small number of beam characteristics.  In a typical treatment </w:t>
      </w:r>
      <w:proofErr w:type="gramStart"/>
      <w:r>
        <w:t>regimen</w:t>
      </w:r>
      <w:proofErr w:type="gramEnd"/>
      <w:r>
        <w:t xml:space="preserve"> the therapeutic dose would be provided in a series of daily sessions delivered over a period of several weeks.  Each session would consist of the delivery of a single fraction of ~2 </w:t>
      </w:r>
      <w:proofErr w:type="spellStart"/>
      <w:r>
        <w:t>Gy</w:t>
      </w:r>
      <w:proofErr w:type="spellEnd"/>
      <w:r>
        <w:t xml:space="preserve"> delivered at a rate of &lt;</w:t>
      </w:r>
      <w:r w:rsidR="00407B10">
        <w:t> </w:t>
      </w:r>
      <w:r>
        <w:t>5 </w:t>
      </w:r>
      <w:proofErr w:type="spellStart"/>
      <w:r>
        <w:t>Gy</w:t>
      </w:r>
      <w:proofErr w:type="spellEnd"/>
      <w:r>
        <w:t xml:space="preserve">/minute.  The dose in each fraction would be distributed uniformly over an area of several </w:t>
      </w:r>
      <w:r>
        <w:lastRenderedPageBreak/>
        <w:t>square centimetres.  Exciting evidence of therapeutic benefit has recently been reported when dose is delivered at ultrahigh dose-rate, &gt; 40 </w:t>
      </w:r>
      <w:proofErr w:type="spellStart"/>
      <w:r>
        <w:t>Gy</w:t>
      </w:r>
      <w:proofErr w:type="spellEnd"/>
      <w:r>
        <w:t>/s (“FLASH” RT).  These studies indicate significantly reduced lung fibrosis in mice and skin toxicity in mini-pigs, and reduced side-effects in cats with nasal squamous cell carcinoma.  Varian has indicated that dose rates greater than 40 </w:t>
      </w:r>
      <w:proofErr w:type="spellStart"/>
      <w:r>
        <w:t>Gy</w:t>
      </w:r>
      <w:proofErr w:type="spellEnd"/>
      <w:r>
        <w:t>/s are useful for FLASH irradiation, while IBA have indicated that the FLASH phenomenon is observed at dose rates above 33 </w:t>
      </w:r>
      <w:proofErr w:type="spellStart"/>
      <w:r>
        <w:t>Gy</w:t>
      </w:r>
      <w:proofErr w:type="spellEnd"/>
      <w:r>
        <w:t>/s.  In addition, therapeutic benefit has been demonstrated in the use of multiple micro-beams with diameter less than 1</w:t>
      </w:r>
      <w:r w:rsidR="00407B10">
        <w:t> </w:t>
      </w:r>
      <w:r>
        <w:t>mm distributed over a grid with inter-beam spacing of ~3</w:t>
      </w:r>
      <w:r w:rsidR="00407B10">
        <w:t> </w:t>
      </w:r>
      <w:r>
        <w:t xml:space="preserve">mm.  However, there is still significant uncertainty of the thresholds and the radiobiological mechanisms by which therapeutic benefit is generated in FLASH and micro-beam therapy, which require further extensive study both </w:t>
      </w:r>
      <w:r w:rsidRPr="00407B10">
        <w:rPr>
          <w:i/>
          <w:iCs/>
        </w:rPr>
        <w:t>in vitro</w:t>
      </w:r>
      <w:r>
        <w:t xml:space="preserve"> and in appropriate </w:t>
      </w:r>
      <w:r w:rsidRPr="00407B10">
        <w:rPr>
          <w:i/>
        </w:rPr>
        <w:t>in</w:t>
      </w:r>
      <w:r w:rsidR="00407B10">
        <w:rPr>
          <w:i/>
        </w:rPr>
        <w:t xml:space="preserve"> </w:t>
      </w:r>
      <w:r w:rsidRPr="00407B10">
        <w:rPr>
          <w:i/>
        </w:rPr>
        <w:t>vivo</w:t>
      </w:r>
      <w:r>
        <w:t xml:space="preserve"> models.</w:t>
      </w:r>
    </w:p>
    <w:p w14:paraId="7DF467F3" w14:textId="3E33E332" w:rsidR="00097D61" w:rsidRDefault="00097D61" w:rsidP="0081366C">
      <w:pPr>
        <w:pStyle w:val="NxtPara"/>
      </w:pPr>
      <w:r>
        <w:t xml:space="preserve">Modern lasers are capable of delivering a Joule of energy in pulses that are 10s of femtoseconds in length at repetition rates of &gt; 10 Hz.  Multiple ion species, from proton to carbon, can be produced from a single laser by varying the target foil and particle-capture optics.  At source, the laser-driven proton or ion flux is divergent and has a large energy spread.  </w:t>
      </w:r>
      <w:proofErr w:type="spellStart"/>
      <w:r>
        <w:t>LhARA</w:t>
      </w:r>
      <w:proofErr w:type="spellEnd"/>
      <w:r>
        <w:t xml:space="preserve"> will exploit a laser to drive the creation of a large flux of protons or light ions which are captured and formed into a beam by strong-focusing plasma lenses.  The laser-driven source allows protons and ions to be captured at energies significantly above those that pertain in conventional facilities, thus evading the current space-charge limit on the instantaneous dose rate that can be delivered.  Rapid acceleration will be performed using a fixed-field alternating gradient accelerator (FFA) thereby preserving the unique flexibility in the time and spatial structure of the beam afforded by the laser-driven source.</w:t>
      </w:r>
    </w:p>
    <w:p w14:paraId="7407CB0C" w14:textId="34F1BDEB" w:rsidR="0081366C" w:rsidRDefault="0081366C" w:rsidP="0081366C">
      <w:pPr>
        <w:pStyle w:val="NxtPara"/>
      </w:pPr>
      <w:proofErr w:type="spellStart"/>
      <w:r>
        <w:t>LhARA</w:t>
      </w:r>
      <w:proofErr w:type="spellEnd"/>
      <w:r>
        <w:t xml:space="preserve"> has been conceived as the highly flexible source that is required to elucidate the mechanisms that underlie the FLASH and micro-beam effects and to explore the vast “terra incognita” of the mechanisms by which the biological response to ionising radiation is modulated by the physical characteristics of the beam. </w:t>
      </w:r>
      <w:r w:rsidR="00407B10">
        <w:t xml:space="preserve"> </w:t>
      </w:r>
      <w:r>
        <w:t xml:space="preserve">Simulations of </w:t>
      </w:r>
      <w:proofErr w:type="spellStart"/>
      <w:r>
        <w:t>LhARA</w:t>
      </w:r>
      <w:proofErr w:type="spellEnd"/>
      <w:r>
        <w:t xml:space="preserve"> have demonstrated that 10</w:t>
      </w:r>
      <w:r w:rsidRPr="0081366C">
        <w:rPr>
          <w:vertAlign w:val="superscript"/>
        </w:rPr>
        <w:t>9</w:t>
      </w:r>
      <w:r>
        <w:t xml:space="preserve"> protons per shot can be delivered to an ionization chamber placed at the peak of the Bragg peak.  </w:t>
      </w:r>
      <w:r w:rsidR="00407B10">
        <w:t xml:space="preserve">As a </w:t>
      </w:r>
      <w:proofErr w:type="gramStart"/>
      <w:r w:rsidR="00407B10">
        <w:t>result</w:t>
      </w:r>
      <w:proofErr w:type="gramEnd"/>
      <w:r w:rsidR="00407B10">
        <w:t xml:space="preserve"> i</w:t>
      </w:r>
      <w:r>
        <w:t>nstantaneous dose rates of up to 100 </w:t>
      </w:r>
      <w:proofErr w:type="spellStart"/>
      <w:r>
        <w:t>Gy</w:t>
      </w:r>
      <w:proofErr w:type="spellEnd"/>
      <w:r>
        <w:t>/s for protons and 700 </w:t>
      </w:r>
      <w:proofErr w:type="spellStart"/>
      <w:r>
        <w:t>Gy</w:t>
      </w:r>
      <w:proofErr w:type="spellEnd"/>
      <w:r>
        <w:t>/s for carbon ions can</w:t>
      </w:r>
      <w:r w:rsidR="00097D61">
        <w:t xml:space="preserve"> be delivered</w:t>
      </w:r>
      <w:r>
        <w:t xml:space="preserve">.  The </w:t>
      </w:r>
      <w:proofErr w:type="spellStart"/>
      <w:r>
        <w:t>LhARA</w:t>
      </w:r>
      <w:proofErr w:type="spellEnd"/>
      <w:r>
        <w:t xml:space="preserve"> consortium’s vision is that </w:t>
      </w:r>
      <w:proofErr w:type="spellStart"/>
      <w:r>
        <w:t>LhARA</w:t>
      </w:r>
      <w:proofErr w:type="spellEnd"/>
      <w:r>
        <w:t xml:space="preserve"> will prove the principal of the novel technologies required for the development of future therapy facilities. </w:t>
      </w:r>
    </w:p>
    <w:p w14:paraId="390FBCE9" w14:textId="4F1B0854" w:rsidR="00097D61" w:rsidRPr="005A30FD" w:rsidRDefault="00593E0C" w:rsidP="0081366C">
      <w:pPr>
        <w:pStyle w:val="NxtPara"/>
      </w:pPr>
      <w:r>
        <w:t xml:space="preserve">The work proposed here will demonstrate in operation the capture and transport of the large ion flux created by the laser-driven source thereby laying the technological foundations for the </w:t>
      </w:r>
      <w:proofErr w:type="spellStart"/>
      <w:r>
        <w:t>LhARA</w:t>
      </w:r>
      <w:proofErr w:type="spellEnd"/>
      <w:r>
        <w:t xml:space="preserve"> programme.</w:t>
      </w:r>
    </w:p>
    <w:p w14:paraId="28759BF6" w14:textId="2E447237" w:rsidR="0093032C" w:rsidRDefault="0093032C" w:rsidP="008E7D4B">
      <w:pPr>
        <w:pStyle w:val="Hdng2"/>
      </w:pPr>
      <w:r>
        <w:t xml:space="preserve">a1.2 Motivation for the decision to </w:t>
      </w:r>
      <w:r w:rsidR="00E32E01">
        <w:t>develop the laser-hybrid technique</w:t>
      </w:r>
    </w:p>
    <w:p w14:paraId="12DE6700" w14:textId="679402CF" w:rsidR="008E7D4B" w:rsidRDefault="008E7D4B" w:rsidP="008E7D4B">
      <w:r w:rsidRPr="008E7D4B">
        <w:t>The laser-hybrid technique is a new, highly flexible approach proposed to deliver ion beams with unique characteristics which are ideal for studying the radiobiological mechanisms at the foundation of radiotherapy under various regimes. High-power lasers have been proposed as an alternative to conventional proton and carbon-ion facilities due to their numerous advantages for treatment. The hybrid approach should mitigate some of the challenges in capturing and focusing the laser-driven beam, while preserving the flexibility afforded by the laser-driven source.</w:t>
      </w:r>
    </w:p>
    <w:p w14:paraId="343CA51A" w14:textId="262DF92A" w:rsidR="008E7D4B" w:rsidRDefault="008E7D4B" w:rsidP="008E7D4B">
      <w:pPr>
        <w:pStyle w:val="NxtPara"/>
      </w:pPr>
      <w:r w:rsidRPr="008E7D4B">
        <w:t>The first advantage of this technique is the creation of a large flux of protons or light ions in the laser-target interaction. Together with the short pulse duration, such a beam has the capability to deliver ultra-high instantaneous dose rates. One feature is to produce the particles around an energy plateau lower than the maximum ion energies which were recently demonstrated by other projects. As a result, the required laser system is readily available, has a decreased cost and benefits from higher pulse-to-pulse stability and reliability. Nevertheless, the laser-driven source produces protons and ions at energies significantly above those that pertain in conventional facilities, thus exceeding the current space-charge limit on the instantaneous dose rate that can be delivered. For this reason, another part of the hybrid concept is to capture the large flux of particles and form a beam by employing strong-focusing plasma lenses. Such an electrostatic lens has in principle high beam transmission and can mitigate the challenge of capturing a highly divergent particle pulse at significantly lower magnetic fields compared to conventional solutions such as solenoids.</w:t>
      </w:r>
    </w:p>
    <w:p w14:paraId="4CBC9719" w14:textId="1D6AEFC9" w:rsidR="008E7D4B" w:rsidRDefault="008E7D4B" w:rsidP="008E7D4B">
      <w:pPr>
        <w:pStyle w:val="NxtPara"/>
      </w:pPr>
      <w:r w:rsidRPr="008E7D4B">
        <w:t>Finally, the hybrid technique is completed by using a transport line and a post-acceleration stage to increase the beam energy and deliver the particles within the requirements of radiobiological studies or possibly patient treatment. A fixed-field alternating gradient accelerator is envisioned to provide rapid acceleration, thus preserving the unique flexibility in the time and spatial structure of the beam afforded by the laser-driven source.</w:t>
      </w:r>
    </w:p>
    <w:p w14:paraId="2A7DAEB7" w14:textId="77777777" w:rsidR="008E7D4B" w:rsidRPr="008E7D4B" w:rsidRDefault="008E7D4B" w:rsidP="008E7D4B">
      <w:pPr>
        <w:pStyle w:val="NxtPara"/>
      </w:pPr>
    </w:p>
    <w:p w14:paraId="3EB5A220" w14:textId="12D14563" w:rsidR="004C2F44" w:rsidRDefault="004C2F44" w:rsidP="008E7D4B">
      <w:pPr>
        <w:pStyle w:val="Hdng2"/>
      </w:pPr>
      <w:r>
        <w:lastRenderedPageBreak/>
        <w:t>a1.3 Motivation for the decision to target delivery a proof-of-principle system for radiobiology</w:t>
      </w:r>
    </w:p>
    <w:p w14:paraId="70A4440A" w14:textId="2802BA5C" w:rsidR="00934317" w:rsidRDefault="00934317" w:rsidP="00934317">
      <w:r>
        <w:t xml:space="preserve">There are approximately 70 PBT centres worldwide, and at least 40 under construction. The PBT facility at the Christie Hospital is in operation and the University College London Hospital centre is scheduled to open in 2020. Patient treatment is the principal function of each of these facilities. A </w:t>
      </w:r>
      <w:proofErr w:type="gramStart"/>
      <w:r>
        <w:t>privately-funded</w:t>
      </w:r>
      <w:proofErr w:type="gramEnd"/>
      <w:r>
        <w:t xml:space="preserve"> PBT accelerator test facility is to be established at the Daresbury Laboratory. </w:t>
      </w:r>
    </w:p>
    <w:p w14:paraId="15B2D998" w14:textId="4E4FDE39" w:rsidR="00934317" w:rsidRDefault="00E46E8D" w:rsidP="00934317">
      <w:pPr>
        <w:pStyle w:val="NxtPara"/>
      </w:pPr>
      <w:r w:rsidRPr="00E46E8D">
        <w:t>Laser-driven ions have been posited as a source for radiobiological studies for a number of years. However,</w:t>
      </w:r>
      <w:r>
        <w:t xml:space="preserve"> </w:t>
      </w:r>
      <w:r w:rsidR="00934317">
        <w:t>to date the ion energies, energy spread, and shot-to-shot variability of the flux produced has meant that such sources were not suitable to serve as a radiobiology resource. A number of radiobiology experiments have been conducted with laser-accelerated ions, but these have been limited in scope to single-shot illumination, either due to low laser repetition rates or the lack of a target suitable for operation at high repetition rate. Most of these experiments have been performed on facilities for which radiobiology has not been the highest priority.</w:t>
      </w:r>
    </w:p>
    <w:p w14:paraId="095250BF" w14:textId="77777777" w:rsidR="00934317" w:rsidRDefault="00934317" w:rsidP="00934317">
      <w:pPr>
        <w:pStyle w:val="NxtPara"/>
      </w:pPr>
      <w:r>
        <w:t xml:space="preserve">Europe and the UK has been a pioneer in the study of laser-accelerated ions for hadron therapy. Currently the A-SAIL collaboration [36], within which CCAP members play a pivotal role, is exploring the underlying fundamental physics required to produce the proton and ion beams we require. The programme we propose will continue to benefit from the advances made in the UK and overseas. European laboratories are active in the development of laser-driven sources for PBT. A number of groups are investigating the challenges related to the production and capture of ion beams with the desired characteristics. In Germany, the effort is led by the Helmholtz </w:t>
      </w:r>
      <w:proofErr w:type="spellStart"/>
      <w:r>
        <w:t>Zentrum</w:t>
      </w:r>
      <w:proofErr w:type="spellEnd"/>
      <w:r>
        <w:t xml:space="preserve"> Dresden-</w:t>
      </w:r>
      <w:proofErr w:type="spellStart"/>
      <w:r>
        <w:t>Rosendorf</w:t>
      </w:r>
      <w:proofErr w:type="spellEnd"/>
      <w:r>
        <w:t xml:space="preserve"> (HZDR), the Technical University of Munich, and GSI </w:t>
      </w:r>
      <w:proofErr w:type="spellStart"/>
      <w:r>
        <w:t>Helmholtzzentrum</w:t>
      </w:r>
      <w:proofErr w:type="spellEnd"/>
      <w:r>
        <w:t xml:space="preserve"> </w:t>
      </w:r>
      <w:proofErr w:type="spellStart"/>
      <w:r>
        <w:t>f¨ur</w:t>
      </w:r>
      <w:proofErr w:type="spellEnd"/>
      <w:r>
        <w:t xml:space="preserve"> </w:t>
      </w:r>
      <w:proofErr w:type="spellStart"/>
      <w:r>
        <w:t>Schwerionenforschung</w:t>
      </w:r>
      <w:proofErr w:type="spellEnd"/>
      <w:r>
        <w:t xml:space="preserve"> (GSI). Primary experiments are also now beginning at the ELIMAIA-ELIMED facility in the Czech Republic. The ELIMED project, a multi-</w:t>
      </w:r>
      <w:proofErr w:type="gramStart"/>
      <w:r>
        <w:t>billion euro</w:t>
      </w:r>
      <w:proofErr w:type="gramEnd"/>
      <w:r>
        <w:t xml:space="preserve"> collaboration to build and exploit next generation laser sources, has a dedicated programme for radiobiology research based on a laser-accelerated source. This project has close collaborations with researchers from a number of institutes in Italy. At the J-KAREN-P facility in Japan, with which CCAP members have an ongoing collaboration, the focus is on developing carbon ions for particle treatment.</w:t>
      </w:r>
    </w:p>
    <w:p w14:paraId="015F9846" w14:textId="35F06F87" w:rsidR="00934317" w:rsidRPr="00934317" w:rsidRDefault="00934317" w:rsidP="00934317">
      <w:pPr>
        <w:pStyle w:val="NxtPara"/>
      </w:pPr>
      <w:r>
        <w:t>The initiatives outlined above exploit conventional magnetic quadrupole or solenoid focusing to capture and transport the laser-generated beam. The capture and transport efficiency of the plasma-lens-based solution we propose is superior and we therefore expect to be able to deliver beams with a substantially higher instantaneous dose. To preserve the unique advantages of the laser-driven ion source we propose to us an FFA that provides fast acceleration with large dynamic aperture.</w:t>
      </w:r>
    </w:p>
    <w:p w14:paraId="5CBA0904" w14:textId="32A45AE7" w:rsidR="004C2F44" w:rsidRDefault="004C2F44" w:rsidP="008E7D4B">
      <w:pPr>
        <w:pStyle w:val="Hdng2"/>
      </w:pPr>
      <w:r>
        <w:t>a1.4 Potential for scientific, technological, and societal impact</w:t>
      </w:r>
    </w:p>
    <w:p w14:paraId="1251195D" w14:textId="14735260" w:rsidR="00377EBF" w:rsidRDefault="00377EBF" w:rsidP="00377EBF">
      <w:r>
        <w:t xml:space="preserve">There are two major medical applications of ion accelerators, both which would benefit from an increased particle flux from the source. One is the production of short-lived isotopes for medical imaging, generally driven by cyclotrons with a well-established method distributed over the world. Alternatively, research reactors are specifically designed to produce medical isotopes at higher capacity, but they are expensive to construct, licence and operate, and they produce radioactive waste. However, accelerators could progress closer to matching the production capacity of research reactors by increasing the particle flux delivered to the target which would drive a higher isotope production rate. This holds high technological impact since accelerators are less expensive to construct and </w:t>
      </w:r>
      <w:proofErr w:type="gramStart"/>
      <w:r>
        <w:t>operate, and</w:t>
      </w:r>
      <w:proofErr w:type="gramEnd"/>
      <w:r>
        <w:t xml:space="preserve"> produce little radioactive waste.</w:t>
      </w:r>
    </w:p>
    <w:p w14:paraId="5317317B" w14:textId="586D5853" w:rsidR="00377EBF" w:rsidRDefault="00377EBF" w:rsidP="00377EBF">
      <w:pPr>
        <w:pStyle w:val="NxtPara"/>
      </w:pPr>
      <w:r>
        <w:t>The second important medical application is charged-particle radiotherapy with heavy-ions attracting increasing interest due to clinical results clearly verifying their advantages for treatment. The laser-driven source will allow radiobiological studies and eventually radiotherapy in completely new regimes with the potential to deliver multiple ion species from the same source at ultra-high instantaneous dose rates. Compelling evidence of therapeutic benefit has recently been reported at ultra-high dose rates and an ion source able to operate in this regime would offer the chance for a systematic study of the underlying radiobiological mechanism that is currently not understood. Furthermore, a demonstration of the laser-hybrid technique has the potential to reduce the footprint of future particle-therapy systems, making the treatment available to a larger number of people.</w:t>
      </w:r>
    </w:p>
    <w:p w14:paraId="0753D30D" w14:textId="2D57870E" w:rsidR="00377EBF" w:rsidRDefault="00377EBF" w:rsidP="00377EBF">
      <w:pPr>
        <w:pStyle w:val="NxtPara"/>
      </w:pPr>
      <w:r>
        <w:t xml:space="preserve">Within an industrial view, another interesting application is the laser-driven ion implantation. A repetitive ion source at moderate energy below 1 MeV presents several advantages: it provides a wide range of ion species and it delivers higher charge state leading to a greater depth of implantation. Equally important for practical applications, the stability of the laser-driven ion sources needs to be thoroughly verified. A </w:t>
      </w:r>
      <w:r>
        <w:lastRenderedPageBreak/>
        <w:t>characterisation of the fluctuations in the ion energy spectrum, spatial and angular beam profiles, and properties of the beam transport system is highly necessary for setting up the foundation of possible practical applications.</w:t>
      </w:r>
    </w:p>
    <w:p w14:paraId="66402123" w14:textId="35D451EB" w:rsidR="008E7D4B" w:rsidRPr="008E7D4B" w:rsidRDefault="00377EBF" w:rsidP="00377EBF">
      <w:pPr>
        <w:pStyle w:val="NxtPara"/>
      </w:pPr>
      <w:r>
        <w:t>Although a laser-driven source inherently has significant merits in terms of unique applications, there are still technological challenges to overcome. The ions are produced at the target with large divergence of tens of degrees and large energy spreads of up to 100%. Thus, the laser-driven approach comes with the challenge of efficient capture, strong focusing and precise energy selection of the ions. For this scope, the ideal low-cost device is a space-charge lens. While the mechanism was proposed more than fifty years ago, the technological development of an electrostatic lens would turn the concept into a functional device that can be part of an advanced facility.</w:t>
      </w:r>
    </w:p>
    <w:p w14:paraId="6CDEBB6C" w14:textId="386F23EB" w:rsidR="004C2F44" w:rsidRDefault="004C2F44" w:rsidP="0083513C">
      <w:pPr>
        <w:pStyle w:val="Hdng1"/>
      </w:pPr>
      <w:r>
        <w:t>a2. State of the art</w:t>
      </w:r>
    </w:p>
    <w:p w14:paraId="1AC1C8E3" w14:textId="0A7559BF" w:rsidR="004C2F44" w:rsidRDefault="004C2F44" w:rsidP="008E7D4B">
      <w:pPr>
        <w:pStyle w:val="Hdng2"/>
      </w:pPr>
      <w:r>
        <w:t>a2.1 Unique flexibility of proposed system compared to systems serving facilities today</w:t>
      </w:r>
    </w:p>
    <w:p w14:paraId="72B0952D" w14:textId="77777777" w:rsidR="00377EBF" w:rsidRDefault="00377EBF" w:rsidP="00377EBF">
      <w:r>
        <w:t>There are several requirements for an ion source to be used in a medical application: beam intensity, stability, reproducibility, simplicity of operation, safety. It is a considerable issue how to obtain the above performance at a reasonable cost. At present, there are a few vendors who share the world market and provide a limited number of types of proton sources. Although they meet the requirement of present facilities, the beam intensity is limited, and most types of sources require a high degree of maintenance. Similarly, all existing heavy-ion facilities utilize the same type of ion source well known for its long lifetime; however, it is no exception to the space-charge limitation. All the available sources produce output beam currents of up to 100 mA.</w:t>
      </w:r>
    </w:p>
    <w:p w14:paraId="7B57C985" w14:textId="77777777" w:rsidR="00377EBF" w:rsidRDefault="00377EBF" w:rsidP="00377EBF">
      <w:pPr>
        <w:pStyle w:val="NxtPara"/>
      </w:pPr>
      <w:r>
        <w:t>Furthermore, facilities which produce radioisotopes have been using compact cyclotrons in combination with penning ion sources. Even though the production of radiopharmaceuticals has been rapidly spreading worldwide, there has been no significant change in the performance value of such systems in the past decade. Established systems still require further development for increasing the beam intensity. Even though design effort is done to develop new electrodes configurations which may increase the beam intensity, there is still the issue of the source performance decreasing with operation time. Another important topic of development is to shorten the switching time for supplying the beam between different ion species. Conventional sources take a long time to switch between ion species such that present facilities often operate with multiple ion sources.</w:t>
      </w:r>
    </w:p>
    <w:p w14:paraId="71DADBFD" w14:textId="77777777" w:rsidR="00377EBF" w:rsidRDefault="00377EBF" w:rsidP="00377EBF">
      <w:pPr>
        <w:pStyle w:val="NxtPara"/>
      </w:pPr>
      <w:r>
        <w:t>Alternatively, a laser-driven source would evade all the limitations described above. In contrast to conventional (RF-based) ion sources the space-charge effect does not limit the beam current density due to two factors. One is the charge neutralisation by the co-moving electrons produced in the laser-target interaction and the second is the higher energies at which ions are produced. Moreover, the laser-driven source can produce protons and multiple light ion species with virtually no switching times by varying the target foil and particle-capture optics.</w:t>
      </w:r>
    </w:p>
    <w:p w14:paraId="5300B353" w14:textId="74366FAB" w:rsidR="00377EBF" w:rsidRPr="00377EBF" w:rsidRDefault="00377EBF" w:rsidP="00377EBF">
      <w:pPr>
        <w:pStyle w:val="NxtPara"/>
      </w:pPr>
      <w:r>
        <w:t>Equally important, the complicated magnetic devices required for guiding and shaping the beam may reduce the advantages of a laser-driven source. To address this challenge, an electrostatic lens is the optimal device to capture and focus the ion beam generated from the laser target, with the potential to fulfil the needs of an in vitro as well as of an in vivo facility. Its compact size, relative lower cost and ease of operation also make the lens suitable as a beamline component in future delivery systems for treatment facilities.</w:t>
      </w:r>
    </w:p>
    <w:p w14:paraId="389EB7FF" w14:textId="68D33555" w:rsidR="004C2F44" w:rsidRDefault="004C2F44" w:rsidP="008E7D4B">
      <w:pPr>
        <w:pStyle w:val="Hdng2"/>
      </w:pPr>
      <w:r>
        <w:t>a2.2 The Unique advantages of the laser-hybrid approach</w:t>
      </w:r>
    </w:p>
    <w:p w14:paraId="2498C57A" w14:textId="77777777" w:rsidR="00934317" w:rsidRDefault="00934317" w:rsidP="00934317">
      <w:r>
        <w:t xml:space="preserve">Beam is extracted at fixed energy from conventional cyclotrons such as those in use at PBT centres in the UK. The dose rate can be varied by adjusting the bunch intensity and the pulse length at the ion source. </w:t>
      </w:r>
      <w:proofErr w:type="gramStart"/>
      <w:r>
        <w:t>However</w:t>
      </w:r>
      <w:proofErr w:type="gramEnd"/>
      <w:r>
        <w:t xml:space="preserve"> the instantaneous dose rate is limited by source brightness, losses at injection, bunch length, and losses during acceleration and extraction. A reasonable estimate of the maximum bunch intensity that can be achieved is approximately 1:2x07 protons per bunch. In order to vary the beam energy a degrader is used to intercept the beam after extraction. Multiple Coulomb scattering and energy straggling cause a significant reduction in beam quality. This can be recovered through collimation with an unavoidable loss in beam intensity. Changing the extraction energy is </w:t>
      </w:r>
      <w:proofErr w:type="gramStart"/>
      <w:r>
        <w:t>possible, but</w:t>
      </w:r>
      <w:proofErr w:type="gramEnd"/>
      <w:r>
        <w:t xml:space="preserve"> is extremely difficult as even a small change in magnet saturation strongly affects the isochronous acceleration. Variable-energy extraction achieved by varying stripper-foil position is possible for H-ions. However, the application of this technique to multiple ion species is challenging and is likely to require multiple extraction ports leading to issues in commissioning and operation. The acceleration of more than one ion species is possible by harmonic operation and tuning of the magnetic </w:t>
      </w:r>
      <w:proofErr w:type="gramStart"/>
      <w:r>
        <w:t>field, but</w:t>
      </w:r>
      <w:proofErr w:type="gramEnd"/>
      <w:r>
        <w:t xml:space="preserve"> is limited to ions with specific charge-to-mass ratios and cannot accommodate a full ion spectrum.</w:t>
      </w:r>
    </w:p>
    <w:p w14:paraId="01E81292" w14:textId="77777777" w:rsidR="00934317" w:rsidRDefault="00934317" w:rsidP="00934317">
      <w:r>
        <w:lastRenderedPageBreak/>
        <w:t xml:space="preserve">Conventional synchrotrons, such as that used at </w:t>
      </w:r>
      <w:proofErr w:type="spellStart"/>
      <w:r>
        <w:t>MedAustron</w:t>
      </w:r>
      <w:proofErr w:type="spellEnd"/>
      <w:r>
        <w:t xml:space="preserve">, can deliver beam over a range of energies. The dose delivered is controlled through the process of slow extraction which takes place over a period of around 1 s. The instantaneous intensity that can be achieved within a time window equivalent to the cyclotron bunch length considered above is approximately 4108 protons per pulse. The </w:t>
      </w:r>
      <w:proofErr w:type="spellStart"/>
      <w:r>
        <w:t>MedAustron</w:t>
      </w:r>
      <w:proofErr w:type="spellEnd"/>
      <w:r>
        <w:t xml:space="preserve"> synchrotron has two ion sources, the first delivers H+3 ions, the second C4+ ions. These ions have the same charge-to-mass ratio and, after short, ion-specific transfer lines, are injected into a single radiofrequency quadruple (RFQ). Electrons are stripped from the ions at injection. The use of other types of ion with the same charge/mass is possible in principle.</w:t>
      </w:r>
    </w:p>
    <w:p w14:paraId="09B1E7E8" w14:textId="69D2945C" w:rsidR="00934317" w:rsidRPr="00934317" w:rsidRDefault="00934317" w:rsidP="00934317">
      <w:pPr>
        <w:pStyle w:val="NxtPara"/>
      </w:pPr>
      <w:proofErr w:type="spellStart"/>
      <w:r>
        <w:t>LhARA</w:t>
      </w:r>
      <w:proofErr w:type="spellEnd"/>
      <w:r>
        <w:t xml:space="preserve"> is a compact, cost-effective solution for the delivery of proton and ion beams over a range of energy, dose-rate and ion species. The intensity of the bunch is varied by changing the laser-beam parameters. The dose can be delivered in a single 10 ns bunch with an intensity of &gt;109 protons per pulse or over 600 bunches at 10 Hz repetition rate. The energy can be varied by collimating the beam delivered by the very strong energy-dependent electrostatic focusing provided by the plasma lenses. Beam can be extracted from the FFA post accelerator over a range of energy using methods established by the RACCAM and PAMELA projects. Almost any type of ion can be accelerated in </w:t>
      </w:r>
      <w:proofErr w:type="spellStart"/>
      <w:r>
        <w:t>LhARA</w:t>
      </w:r>
      <w:proofErr w:type="spellEnd"/>
      <w:r>
        <w:t xml:space="preserve"> simply by changing the target. </w:t>
      </w:r>
      <w:proofErr w:type="spellStart"/>
      <w:r>
        <w:t>LhARA</w:t>
      </w:r>
      <w:proofErr w:type="spellEnd"/>
      <w:r>
        <w:t xml:space="preserve"> has the potential to become a uniquely flexible source for radiobiology and a catalyst for the development of laser-hybrid solutions for PBT and other scientific and technological applications.</w:t>
      </w:r>
    </w:p>
    <w:p w14:paraId="671119C2" w14:textId="4E927040" w:rsidR="004C2F44" w:rsidRDefault="004C2F44" w:rsidP="008E7D4B">
      <w:pPr>
        <w:pStyle w:val="Hdng2"/>
      </w:pPr>
      <w:r>
        <w:t>a2.3 Complementary initiatives to create laser-driven beams for radiobiology</w:t>
      </w:r>
    </w:p>
    <w:p w14:paraId="1AA923DE" w14:textId="77777777" w:rsidR="00A420CE" w:rsidRDefault="00A420CE" w:rsidP="00A420CE">
      <w:r>
        <w:t xml:space="preserve">Recent projects are also making use of laser-driven ion beams in order to investigate radiobiological effects. The Scottish Centre for the Application of Plasma-based Accelerators (SCAPA) [1] is devoted to development and multidisciplinary applications of laser-driven accelerators. SCAPA hosts two high power </w:t>
      </w:r>
      <w:proofErr w:type="spellStart"/>
      <w:proofErr w:type="gramStart"/>
      <w:r>
        <w:t>Ti:sapphire</w:t>
      </w:r>
      <w:proofErr w:type="spellEnd"/>
      <w:proofErr w:type="gramEnd"/>
      <w:r>
        <w:t xml:space="preserve"> laser systems. One of these laser systems is a 10 Hz, 40 TW system which serves the ongoing ALPHA-X project to develop compact coherent radiation sources. The other laser system is a 350 TW laser system operating at 5 Hz. The 350 TW laser system can deliver protons </w:t>
      </w:r>
      <w:proofErr w:type="spellStart"/>
      <w:r>
        <w:t>upto</w:t>
      </w:r>
      <w:proofErr w:type="spellEnd"/>
      <w:r>
        <w:t xml:space="preserve"> 70 MeV suitable for investigation into ocular tumours. Electrons at 100 MeV are also attainable along with the capability for the production of other medical radioisotopes.</w:t>
      </w:r>
    </w:p>
    <w:p w14:paraId="65D1B830" w14:textId="77777777" w:rsidR="00A420CE" w:rsidRDefault="00A420CE" w:rsidP="00A420CE">
      <w:pPr>
        <w:pStyle w:val="NxtPara"/>
      </w:pPr>
      <w:r>
        <w:t>Experiments within the target normal sheath acceleration (TNSA) regime can achieve a maximum proton energy at 85 MeV [3], but typically at a low particle flux insufficient to be of use. ELI Multidisciplinary Applications of laser-ion Acceleration (ELIMAIA) [2] aim is to provide a stable and tuneable beam to serve multiple disciplines. Instead of the TNSA regime, the group works in the Radiation Pressure Acceleration (RPA) regime through using ultra-high intensity lasers (&gt; 1022 W/cm2). Within the RPA regime, protons with energies at several hundreds of MeV with a sufficient flux is predicted to be feasible.</w:t>
      </w:r>
    </w:p>
    <w:p w14:paraId="399400A6" w14:textId="77777777" w:rsidR="00A420CE" w:rsidRDefault="00A420CE" w:rsidP="00A420CE">
      <w:pPr>
        <w:pStyle w:val="NxtPara"/>
      </w:pPr>
      <w:r>
        <w:t>A-SAIL [4] aims to deliver high-repetition ion beams at energies necessary for deep-seated tumour treatments at about 200 MeV/nucleon. Similar to ELIMAIA, A-SAIL focuses on the RPA regime through the processes of Light-Sail, Hole-Boring and shock acceleration in order to deliver a dense bunch of highly energetic ions.</w:t>
      </w:r>
    </w:p>
    <w:p w14:paraId="7DE9B9C4" w14:textId="77777777" w:rsidR="00A420CE" w:rsidRDefault="00A420CE" w:rsidP="00A420CE">
      <w:pPr>
        <w:pStyle w:val="NxtPara"/>
      </w:pPr>
      <w:r>
        <w:t xml:space="preserve">Helmholtz </w:t>
      </w:r>
      <w:proofErr w:type="spellStart"/>
      <w:r>
        <w:t>Zentrum</w:t>
      </w:r>
      <w:proofErr w:type="spellEnd"/>
      <w:r>
        <w:t xml:space="preserve"> Dresden </w:t>
      </w:r>
      <w:proofErr w:type="spellStart"/>
      <w:r>
        <w:t>Rossendorf</w:t>
      </w:r>
      <w:proofErr w:type="spellEnd"/>
      <w:r>
        <w:t xml:space="preserve"> (HZDR) has carried out experiments with the </w:t>
      </w:r>
      <w:proofErr w:type="spellStart"/>
      <w:proofErr w:type="gramStart"/>
      <w:r>
        <w:t>Ti:Sapphire</w:t>
      </w:r>
      <w:proofErr w:type="spellEnd"/>
      <w:proofErr w:type="gramEnd"/>
      <w:r>
        <w:t xml:space="preserve"> laser system DRACO and compared results to a tandem Van-de-Graaf accelerator with good agreement between the two. The laser system produced a 1.8 J pulse on a thin foil target producing </w:t>
      </w:r>
      <w:proofErr w:type="gramStart"/>
      <w:r>
        <w:t>an</w:t>
      </w:r>
      <w:proofErr w:type="gramEnd"/>
      <w:r>
        <w:t xml:space="preserve"> proton energy spectrum with a </w:t>
      </w:r>
      <w:proofErr w:type="spellStart"/>
      <w:r>
        <w:t>cutoff</w:t>
      </w:r>
      <w:proofErr w:type="spellEnd"/>
      <w:r>
        <w:t xml:space="preserve"> energy of 15 MeV. To achieve higher energies, HZDR through the PENELOPE project [6] is developing a laser system to accelerate proton and ions to energies above 100 MeV. The laser system aims to produce a </w:t>
      </w:r>
      <w:proofErr w:type="gramStart"/>
      <w:r>
        <w:t>150 fs</w:t>
      </w:r>
      <w:proofErr w:type="gramEnd"/>
      <w:r>
        <w:t xml:space="preserve"> pulse at energies up to 150 J with a repetition rate of 1 Hz with ultra-high intensities.</w:t>
      </w:r>
    </w:p>
    <w:p w14:paraId="62E9377E" w14:textId="0A888FC3" w:rsidR="00934317" w:rsidRPr="00934317" w:rsidRDefault="00A420CE" w:rsidP="00A420CE">
      <w:pPr>
        <w:pStyle w:val="NxtPara"/>
      </w:pPr>
      <w:proofErr w:type="spellStart"/>
      <w:r>
        <w:t>LhARA</w:t>
      </w:r>
      <w:proofErr w:type="spellEnd"/>
      <w:r>
        <w:t xml:space="preserve"> separates itself from the aforementioned initiatives by shifting the focus away from attaining high energies from the laser source and instead on a high and stable production rate. A commercially available laser system that can produce protons up to 15 MeV will be combined with Gabor lenses to capture and transport the flux of particles from the laser target. A switching dipole in the beamline allows for the beam to either be delivered to an in-vitro end station or to a fixed field alternating gradient accelerator which further accelerates the beam up to 127 MeV. Another switching dipole allows the higher energy beam to be transported to another in-vitro end station or to an in-vivo end station.</w:t>
      </w:r>
    </w:p>
    <w:p w14:paraId="768BEF2B" w14:textId="6D079DC5" w:rsidR="004C2F44" w:rsidRDefault="004C2F44" w:rsidP="0083513C">
      <w:pPr>
        <w:pStyle w:val="Hdng1"/>
      </w:pPr>
      <w:r>
        <w:t>a3. Objective</w:t>
      </w:r>
      <w:r w:rsidR="008C7839">
        <w:t>s</w:t>
      </w:r>
    </w:p>
    <w:p w14:paraId="6E0FD991" w14:textId="6CE54C32" w:rsidR="00237B2C" w:rsidRDefault="008C7839" w:rsidP="008C7839">
      <w:r>
        <w:t xml:space="preserve">My ambition is to lay the technological foundations </w:t>
      </w:r>
      <w:r>
        <w:t>for the development of the Laser-hybrid Accelerator for Radiobiological Applications (</w:t>
      </w:r>
      <w:proofErr w:type="spellStart"/>
      <w:r>
        <w:t>LhARA</w:t>
      </w:r>
      <w:proofErr w:type="spellEnd"/>
      <w:r>
        <w:t xml:space="preserve">) and pave the way for paradigm shift in the clinical exploitation of </w:t>
      </w:r>
      <w:r>
        <w:lastRenderedPageBreak/>
        <w:t>mul</w:t>
      </w:r>
      <w:r w:rsidR="006F1F77">
        <w:t>t</w:t>
      </w:r>
      <w:r>
        <w:t>i-species particle-beam therapy.</w:t>
      </w:r>
      <w:r>
        <w:t xml:space="preserve">  With the resources requested here, my principal objective is to construct, commission, and operate the capture and focussing system shown schematically in </w:t>
      </w:r>
      <w:r w:rsidRPr="0079356A">
        <w:rPr>
          <w:b/>
          <w:bCs/>
          <w:color w:val="FF0000"/>
        </w:rPr>
        <w:t>figure 1</w:t>
      </w:r>
      <w:r>
        <w:t xml:space="preserve">.  </w:t>
      </w:r>
      <w:r w:rsidR="00237B2C">
        <w:t>I have conceived the system in the following functional sections:</w:t>
      </w:r>
    </w:p>
    <w:p w14:paraId="7216C1A3" w14:textId="21987AD2" w:rsidR="00237B2C" w:rsidRDefault="00237B2C" w:rsidP="00237B2C">
      <w:pPr>
        <w:ind w:left="284" w:hanging="284"/>
      </w:pPr>
      <w:r w:rsidRPr="00237B2C">
        <w:rPr>
          <w:i/>
          <w:iCs/>
          <w:u w:val="single"/>
        </w:rPr>
        <w:t>Laser-target vessel</w:t>
      </w:r>
      <w:r>
        <w:t xml:space="preserve"> in which the laser will impinge on the thin foil target </w:t>
      </w:r>
      <w:r w:rsidR="009C6E3B">
        <w:t xml:space="preserve">to produce </w:t>
      </w:r>
      <w:r>
        <w:t>the intense proton flux</w:t>
      </w:r>
      <w:r w:rsidR="009C6E3B">
        <w:t>.</w:t>
      </w:r>
    </w:p>
    <w:p w14:paraId="583C7152" w14:textId="752503A9" w:rsidR="008C7839" w:rsidRDefault="00237B2C" w:rsidP="00237B2C">
      <w:pPr>
        <w:ind w:left="284"/>
      </w:pPr>
      <w:r w:rsidRPr="00237B2C">
        <w:t>I propose to operate in a laser-driven sheath-acceleration regime.  The intense, short laser pulse will be focused onto a target at an angle of 45</w:t>
      </w:r>
      <w:r w:rsidRPr="00237B2C">
        <w:rPr>
          <w:vertAlign w:val="superscript"/>
        </w:rPr>
        <w:t>o</w:t>
      </w:r>
      <w:r>
        <w:t xml:space="preserve"> to the surface normal</w:t>
      </w:r>
      <w:r w:rsidRPr="00237B2C">
        <w:t xml:space="preserve">.  The intense electric field generated on the front surface of the target accelerates surface electrons, driving them into the material.  Electrons which gain sufficient energy traverse the target, ionising the material as they go. A strong space-charge electric field, the ‘sheath’, is created as the accelerated electrons exit the rear surface of the target. </w:t>
      </w:r>
      <w:r w:rsidR="009C6E3B">
        <w:t xml:space="preserve"> </w:t>
      </w:r>
      <w:r w:rsidRPr="00237B2C">
        <w:t>This field in turn accelerates surface-contaminant ions.  The sheath-acceleration scheme has been shown to produce ion energies greater than 40 MeV/u.</w:t>
      </w:r>
    </w:p>
    <w:p w14:paraId="280A649B" w14:textId="772C1289" w:rsidR="009C6E3B" w:rsidRDefault="009C6E3B" w:rsidP="009C6E3B">
      <w:pPr>
        <w:ind w:left="284" w:firstLine="142"/>
      </w:pPr>
      <w:r w:rsidRPr="009C6E3B">
        <w:t>Key to the operation of this configuration is a system that refreshes the target material at high-repetition rate in a reproducible manner.  A number of schemes have been proposed for such studies, from high-pressure gases, cryogenic hydrogen ribbons, liquid sheets and tape drives.  I propose to use the tape drive based on the system developed at Imperial College London.  This system is capable of reliable operation at target thicknesses down to 5mm, using both aluminium and steel foils, and down to 18mm using plastic tapes.  Such tape-drive targets allow operation at high charge (up to 100</w:t>
      </w:r>
      <w:r>
        <w:t> </w:t>
      </w:r>
      <w:proofErr w:type="spellStart"/>
      <w:r w:rsidRPr="009C6E3B">
        <w:t>pC</w:t>
      </w:r>
      <w:proofErr w:type="spellEnd"/>
      <w:r w:rsidRPr="009C6E3B">
        <w:t xml:space="preserve"> at 15</w:t>
      </w:r>
      <w:r>
        <w:t> </w:t>
      </w:r>
      <w:r>
        <w:sym w:font="Symbol" w:char="F0B1"/>
      </w:r>
      <w:r>
        <w:t> </w:t>
      </w:r>
      <w:r w:rsidRPr="009C6E3B">
        <w:t>1</w:t>
      </w:r>
      <w:r>
        <w:t> </w:t>
      </w:r>
      <w:r w:rsidRPr="009C6E3B">
        <w:t>MeV, i.e. &gt;</w:t>
      </w:r>
      <w:r>
        <w:t> </w:t>
      </w:r>
      <w:r w:rsidRPr="009C6E3B">
        <w:t>10</w:t>
      </w:r>
      <w:r w:rsidRPr="009C6E3B">
        <w:rPr>
          <w:vertAlign w:val="superscript"/>
        </w:rPr>
        <w:t>9</w:t>
      </w:r>
      <w:r w:rsidRPr="009C6E3B">
        <w:t xml:space="preserve"> protons per shot) and of delivering high-quality proton and ion fluxes at repetition rates of up to 10</w:t>
      </w:r>
      <w:r>
        <w:t> </w:t>
      </w:r>
      <w:r w:rsidRPr="009C6E3B">
        <w:t>Hz or greater.</w:t>
      </w:r>
    </w:p>
    <w:p w14:paraId="4116279A" w14:textId="54860763" w:rsidR="009C6E3B" w:rsidRDefault="009C6E3B" w:rsidP="009C6E3B">
      <w:pPr>
        <w:ind w:left="284" w:hanging="284"/>
      </w:pPr>
      <w:r>
        <w:rPr>
          <w:i/>
          <w:iCs/>
          <w:u w:val="single"/>
        </w:rPr>
        <w:t>Capture section</w:t>
      </w:r>
      <w:r>
        <w:t xml:space="preserve"> in which </w:t>
      </w:r>
      <w:r>
        <w:t>intense, divergent proton flux is captured and a parallel beam is produced</w:t>
      </w:r>
      <w:r>
        <w:t>.</w:t>
      </w:r>
    </w:p>
    <w:p w14:paraId="70D00169" w14:textId="558B0BF9" w:rsidR="009C6E3B" w:rsidRDefault="009C6E3B" w:rsidP="009C6E3B">
      <w:pPr>
        <w:ind w:left="284"/>
      </w:pPr>
      <w:r>
        <w:t>Two Gabor lenses are used to capture the beam</w:t>
      </w:r>
      <w:r w:rsidR="00DE5163">
        <w:t xml:space="preserve"> and to reduce its transverse momentum to a minimum so that a parallel beam is produced.  The first lens must be placed as close to the laser-target interaction point as possible to maximise the capture efficiency.  I therefore propose to integrate the first Gabor lens with the laser-target vessel as described below.  The position of the second Gabor lens will be chosen based on detailed simulations of the laser-target interaction and time-resolved simulations of the behaviour of the electron plasma confined within the Gabor lens.  An example of an initial simulation of the capture of a proton beam at 15 MeV is shown in </w:t>
      </w:r>
      <w:r w:rsidR="00DE5163" w:rsidRPr="0079356A">
        <w:rPr>
          <w:b/>
          <w:bCs/>
          <w:color w:val="FF0000"/>
        </w:rPr>
        <w:t>figure 2</w:t>
      </w:r>
      <w:r w:rsidR="00DE5163">
        <w:t>.</w:t>
      </w:r>
    </w:p>
    <w:p w14:paraId="767607A8" w14:textId="0E0FFCF7" w:rsidR="00DE5163" w:rsidRDefault="00DE5163" w:rsidP="00DE5163">
      <w:pPr>
        <w:ind w:left="284" w:hanging="284"/>
      </w:pPr>
      <w:r>
        <w:rPr>
          <w:i/>
          <w:iCs/>
          <w:u w:val="single"/>
        </w:rPr>
        <w:t xml:space="preserve">Focusing </w:t>
      </w:r>
      <w:r>
        <w:rPr>
          <w:i/>
          <w:iCs/>
          <w:u w:val="single"/>
        </w:rPr>
        <w:t>section</w:t>
      </w:r>
      <w:r>
        <w:t xml:space="preserve"> in which </w:t>
      </w:r>
      <w:r>
        <w:t xml:space="preserve">the </w:t>
      </w:r>
      <w:r>
        <w:t xml:space="preserve">parallel </w:t>
      </w:r>
      <w:r>
        <w:t xml:space="preserve">proton </w:t>
      </w:r>
      <w:r>
        <w:t xml:space="preserve">beam is </w:t>
      </w:r>
      <w:r>
        <w:t>focussed to a spot for collimation</w:t>
      </w:r>
      <w:r>
        <w:t>.</w:t>
      </w:r>
    </w:p>
    <w:p w14:paraId="52573416" w14:textId="3ACA4F04" w:rsidR="00DE5163" w:rsidRPr="007D1857" w:rsidRDefault="00DE5163" w:rsidP="00DE5163">
      <w:pPr>
        <w:ind w:left="284"/>
      </w:pPr>
      <w:r>
        <w:t>A third Gabor lens will be used to bring the beam to a focus at the position of a circular aperture</w:t>
      </w:r>
      <w:r w:rsidR="007D1857">
        <w:t xml:space="preserve">. </w:t>
      </w:r>
      <w:r>
        <w:t xml:space="preserve"> </w:t>
      </w:r>
      <w:r w:rsidR="007D1857">
        <w:t xml:space="preserve">The position of the collimator will determine the energy of the particles selected since the focusing is electrostatic.  The energy-selected, collimated beam will be characterised and exploited to make first </w:t>
      </w:r>
      <w:r w:rsidR="007D1857">
        <w:rPr>
          <w:i/>
          <w:iCs/>
        </w:rPr>
        <w:t>in vitro</w:t>
      </w:r>
      <w:r w:rsidR="007D1857">
        <w:t xml:space="preserve"> irradiations of biological samples with the laser-hybrid approach I propose.</w:t>
      </w:r>
    </w:p>
    <w:p w14:paraId="1A0CBC42" w14:textId="50640050" w:rsidR="004C2F44" w:rsidRDefault="006F1F77" w:rsidP="004C2F44">
      <w:r>
        <w:t xml:space="preserve">The evolution of the beam envelope from the laser-driven source to the collimator shown in </w:t>
      </w:r>
      <w:r w:rsidRPr="006F1F77">
        <w:rPr>
          <w:b/>
          <w:bCs/>
          <w:color w:val="FF0000"/>
        </w:rPr>
        <w:t>figure 2</w:t>
      </w:r>
      <w:r>
        <w:t xml:space="preserve"> indicates that the technique I propose has the potential to be used as the injector for </w:t>
      </w:r>
      <w:proofErr w:type="spellStart"/>
      <w:r>
        <w:t>LhARA</w:t>
      </w:r>
      <w:proofErr w:type="spellEnd"/>
      <w:r>
        <w:t xml:space="preserve"> and as the basis of the uniquely flexible, multi-species particle-beam therapy system of the future.  However, to realise this potential requires that each of the functional sections be demonstrated and that the overall system be implemented.  </w:t>
      </w:r>
      <w:r w:rsidR="005D7A5C">
        <w:t xml:space="preserve">To do this I have </w:t>
      </w:r>
      <w:r w:rsidR="005D7A5C">
        <w:t xml:space="preserve">created a project structure </w:t>
      </w:r>
      <w:r w:rsidR="005D7A5C">
        <w:t xml:space="preserve">that </w:t>
      </w:r>
      <w:r w:rsidR="005D7A5C">
        <w:t>will address ab initio the technical risks</w:t>
      </w:r>
      <w:r w:rsidR="005D7A5C">
        <w:t xml:space="preserve"> associated with each of the functional elements:</w:t>
      </w:r>
    </w:p>
    <w:p w14:paraId="059635A0" w14:textId="2236CCC5" w:rsidR="005D7A5C" w:rsidRPr="001710F2" w:rsidRDefault="005D7A5C" w:rsidP="005D7A5C">
      <w:pPr>
        <w:pStyle w:val="ListParagraph"/>
        <w:numPr>
          <w:ilvl w:val="0"/>
          <w:numId w:val="5"/>
        </w:numPr>
        <w:rPr>
          <w:i/>
          <w:iCs/>
        </w:rPr>
      </w:pPr>
      <w:r w:rsidRPr="001710F2">
        <w:rPr>
          <w:i/>
          <w:iCs/>
        </w:rPr>
        <w:t>Laser-driven proton and light-ion source</w:t>
      </w:r>
      <w:r w:rsidR="0035722A">
        <w:rPr>
          <w:i/>
          <w:iCs/>
        </w:rPr>
        <w:t>;</w:t>
      </w:r>
    </w:p>
    <w:p w14:paraId="6FC94452" w14:textId="3DBCF904" w:rsidR="005D7A5C" w:rsidRPr="0035722A" w:rsidRDefault="005D7A5C" w:rsidP="0035722A">
      <w:pPr>
        <w:pStyle w:val="ListParagraph"/>
        <w:numPr>
          <w:ilvl w:val="0"/>
          <w:numId w:val="5"/>
        </w:numPr>
        <w:rPr>
          <w:i/>
          <w:iCs/>
        </w:rPr>
      </w:pPr>
      <w:r w:rsidRPr="001710F2">
        <w:rPr>
          <w:i/>
          <w:iCs/>
        </w:rPr>
        <w:t>Proton/ion-beam capture and initial focus</w:t>
      </w:r>
      <w:r w:rsidR="0035722A">
        <w:rPr>
          <w:i/>
          <w:iCs/>
        </w:rPr>
        <w:t>;</w:t>
      </w:r>
    </w:p>
    <w:p w14:paraId="174EDEC0" w14:textId="6ACCCA73" w:rsidR="005D7A5C" w:rsidRPr="001710F2" w:rsidRDefault="005D7A5C" w:rsidP="005D7A5C">
      <w:pPr>
        <w:pStyle w:val="ListParagraph"/>
        <w:numPr>
          <w:ilvl w:val="0"/>
          <w:numId w:val="5"/>
        </w:numPr>
        <w:rPr>
          <w:i/>
          <w:iCs/>
        </w:rPr>
      </w:pPr>
      <w:r>
        <w:rPr>
          <w:i/>
          <w:iCs/>
        </w:rPr>
        <w:t>I</w:t>
      </w:r>
      <w:r w:rsidRPr="001710F2">
        <w:rPr>
          <w:i/>
          <w:iCs/>
        </w:rPr>
        <w:t>ntegration of beam, diagnostics, dosimetry and biological end-station</w:t>
      </w:r>
      <w:r w:rsidR="0035722A">
        <w:rPr>
          <w:i/>
          <w:iCs/>
        </w:rPr>
        <w:t>;</w:t>
      </w:r>
      <w:r w:rsidR="0035722A">
        <w:t xml:space="preserve"> and</w:t>
      </w:r>
    </w:p>
    <w:p w14:paraId="4A33C2A3" w14:textId="1480A3A6" w:rsidR="005D7A5C" w:rsidRPr="001710F2" w:rsidRDefault="005D7A5C" w:rsidP="005D7A5C">
      <w:pPr>
        <w:pStyle w:val="ListParagraph"/>
        <w:numPr>
          <w:ilvl w:val="0"/>
          <w:numId w:val="5"/>
        </w:numPr>
        <w:rPr>
          <w:i/>
          <w:iCs/>
        </w:rPr>
      </w:pPr>
      <w:r>
        <w:rPr>
          <w:i/>
          <w:iCs/>
        </w:rPr>
        <w:t>Characterisation and exploitation</w:t>
      </w:r>
      <w:r w:rsidR="0035722A">
        <w:rPr>
          <w:i/>
          <w:iCs/>
        </w:rPr>
        <w:t>.</w:t>
      </w:r>
    </w:p>
    <w:p w14:paraId="276CEFB4" w14:textId="45AD5FC6" w:rsidR="005D7A5C" w:rsidRDefault="000203BD" w:rsidP="004C2F44">
      <w:r w:rsidRPr="000203BD">
        <w:t xml:space="preserve">Each of these challenges will be addressed directly by personnel supported by the resources requested in this proposal.  Expertise and effort from others, both from Imperial College and elsewhere, not funded by this grant, but under my </w:t>
      </w:r>
      <w:proofErr w:type="spellStart"/>
      <w:r w:rsidRPr="000203BD">
        <w:t>directionwill</w:t>
      </w:r>
      <w:proofErr w:type="spellEnd"/>
      <w:r w:rsidRPr="000203BD">
        <w:t xml:space="preserve"> be required for the manufacture of components, delivery of prototypes delivered by personnel.  Each of the four aspects of the project requires dedicated manpower, namely postdoc(s), and mechanical, electrical, and electronic engineers.</w:t>
      </w:r>
    </w:p>
    <w:p w14:paraId="273FFD75" w14:textId="77777777" w:rsidR="000203BD" w:rsidRPr="004C2F44" w:rsidRDefault="000203BD" w:rsidP="004C2F44"/>
    <w:p w14:paraId="07D69D5A" w14:textId="77777777" w:rsidR="00641000" w:rsidRPr="00C85F7E" w:rsidRDefault="002431CB" w:rsidP="00C85F7E">
      <w:pPr>
        <w:spacing w:before="120"/>
        <w:rPr>
          <w:b/>
          <w:bCs/>
          <w:szCs w:val="22"/>
        </w:rPr>
      </w:pPr>
      <w:r>
        <w:rPr>
          <w:b/>
          <w:bCs/>
          <w:szCs w:val="22"/>
        </w:rPr>
        <w:t xml:space="preserve">Section </w:t>
      </w:r>
      <w:r w:rsidR="00B92069" w:rsidRPr="00C85F7E">
        <w:rPr>
          <w:b/>
          <w:bCs/>
          <w:szCs w:val="22"/>
        </w:rPr>
        <w:t>b</w:t>
      </w:r>
      <w:r w:rsidR="00641000" w:rsidRPr="00C85F7E">
        <w:rPr>
          <w:b/>
          <w:bCs/>
          <w:szCs w:val="22"/>
        </w:rPr>
        <w:t>. Methodology</w:t>
      </w:r>
    </w:p>
    <w:p w14:paraId="41D9E9F6" w14:textId="48D3E12E" w:rsidR="001E0636" w:rsidRPr="001E0636" w:rsidRDefault="001E0636" w:rsidP="0093032C">
      <w:pPr>
        <w:spacing w:before="120"/>
        <w:ind w:left="284" w:right="567"/>
        <w:rPr>
          <w:i/>
          <w:iCs/>
          <w:szCs w:val="22"/>
        </w:rPr>
      </w:pPr>
      <w:r>
        <w:rPr>
          <w:szCs w:val="22"/>
        </w:rPr>
        <w:lastRenderedPageBreak/>
        <w:t>“</w:t>
      </w:r>
      <w:r w:rsidRPr="001E0636">
        <w:rPr>
          <w:i/>
          <w:iCs/>
          <w:szCs w:val="22"/>
        </w:rPr>
        <w:t>Describe the proposed methodology in detail including any key intermediate goals. Explain and justify the methodology in relation to the state of the art, and particularly novel or unconventional aspects addressing the 'high-risk/high-gain' balance. Highlight any intermediate stages where results may require adjustments to the project planning. In case one or more team members are engaged by another host institution their participation has to be fully justified with respect to the scientific added value they bring to the project.</w:t>
      </w:r>
      <w:r>
        <w:rPr>
          <w:szCs w:val="22"/>
        </w:rPr>
        <w:t>”</w:t>
      </w:r>
    </w:p>
    <w:p w14:paraId="686DA82D" w14:textId="56CF9FE7" w:rsidR="00017525" w:rsidRPr="00017525" w:rsidRDefault="00017525" w:rsidP="00017525">
      <w:r w:rsidRPr="00017525">
        <w:rPr>
          <w:b/>
          <w:bCs/>
          <w:color w:val="FF0000"/>
        </w:rPr>
        <w:t>Lead author: KL</w:t>
      </w:r>
      <w:r>
        <w:rPr>
          <w:b/>
          <w:bCs/>
          <w:color w:val="FF0000"/>
        </w:rPr>
        <w:t xml:space="preserve"> </w:t>
      </w:r>
      <w:r>
        <w:rPr>
          <w:color w:val="FF0000"/>
        </w:rPr>
        <w:t>(intro para)</w:t>
      </w:r>
    </w:p>
    <w:p w14:paraId="5FF15370" w14:textId="77777777" w:rsidR="001E0636" w:rsidRDefault="001E0636" w:rsidP="009A03F7"/>
    <w:p w14:paraId="4F5F2949" w14:textId="4FE7BC86" w:rsidR="00641000" w:rsidRDefault="009A03F7" w:rsidP="0083513C">
      <w:pPr>
        <w:pStyle w:val="Hdng1"/>
      </w:pPr>
      <w:r>
        <w:t>b1. &gt;&gt;&gt;&gt; Discussion with Colin!</w:t>
      </w:r>
    </w:p>
    <w:p w14:paraId="763633DC" w14:textId="59A2DE7A" w:rsidR="00017525" w:rsidRPr="00017525" w:rsidRDefault="00017525" w:rsidP="00017525">
      <w:pPr>
        <w:rPr>
          <w:b/>
          <w:bCs/>
        </w:rPr>
      </w:pPr>
      <w:r w:rsidRPr="00017525">
        <w:rPr>
          <w:b/>
          <w:bCs/>
          <w:color w:val="FF0000"/>
        </w:rPr>
        <w:t xml:space="preserve">Lead author: </w:t>
      </w:r>
      <w:r>
        <w:rPr>
          <w:b/>
          <w:bCs/>
          <w:color w:val="FF0000"/>
        </w:rPr>
        <w:t>CW/</w:t>
      </w:r>
      <w:r w:rsidRPr="00017525">
        <w:rPr>
          <w:b/>
          <w:bCs/>
          <w:color w:val="FF0000"/>
        </w:rPr>
        <w:t>KL</w:t>
      </w:r>
    </w:p>
    <w:p w14:paraId="0838302F" w14:textId="77777777" w:rsidR="009A03F7" w:rsidRPr="009A03F7" w:rsidRDefault="009A03F7" w:rsidP="009A03F7"/>
    <w:p w14:paraId="10BFBA14" w14:textId="77777777" w:rsidR="00F41492" w:rsidRDefault="00F41492" w:rsidP="009A03F7"/>
    <w:p w14:paraId="11757F5B" w14:textId="7EACBAB1" w:rsidR="001E0636" w:rsidRPr="00C85F7E" w:rsidRDefault="001E0636" w:rsidP="001E0636">
      <w:pPr>
        <w:spacing w:before="120"/>
        <w:rPr>
          <w:b/>
          <w:bCs/>
          <w:szCs w:val="22"/>
        </w:rPr>
      </w:pPr>
      <w:r>
        <w:rPr>
          <w:b/>
          <w:bCs/>
          <w:szCs w:val="22"/>
        </w:rPr>
        <w:t xml:space="preserve">Section </w:t>
      </w:r>
      <w:r w:rsidR="004C2F44">
        <w:rPr>
          <w:b/>
          <w:bCs/>
          <w:szCs w:val="22"/>
        </w:rPr>
        <w:t>c</w:t>
      </w:r>
      <w:r w:rsidRPr="00C85F7E">
        <w:rPr>
          <w:b/>
          <w:bCs/>
          <w:szCs w:val="22"/>
        </w:rPr>
        <w:t xml:space="preserve">. </w:t>
      </w:r>
      <w:r w:rsidR="00DF0DC2">
        <w:rPr>
          <w:b/>
          <w:bCs/>
          <w:szCs w:val="22"/>
        </w:rPr>
        <w:t>Resources</w:t>
      </w:r>
    </w:p>
    <w:p w14:paraId="531D7C2D" w14:textId="415BAFAB" w:rsidR="001E0636" w:rsidRPr="001E0636" w:rsidRDefault="001E0636" w:rsidP="001E0636">
      <w:pPr>
        <w:spacing w:before="120"/>
        <w:ind w:left="284" w:right="567"/>
        <w:rPr>
          <w:i/>
          <w:iCs/>
          <w:szCs w:val="22"/>
        </w:rPr>
      </w:pPr>
      <w:r>
        <w:rPr>
          <w:szCs w:val="22"/>
        </w:rPr>
        <w:t>“</w:t>
      </w:r>
      <w:r w:rsidRPr="001E0636">
        <w:rPr>
          <w:i/>
          <w:iCs/>
          <w:szCs w:val="22"/>
        </w:rPr>
        <w:t>The budget table and description of resources are part of the online submission form (Section 3 – Budget). The description of resources (Section C. Resources) counts towards the page limit of 15 pages for the Scientific Proposal.</w:t>
      </w:r>
      <w:r>
        <w:rPr>
          <w:szCs w:val="22"/>
        </w:rPr>
        <w:t>”</w:t>
      </w:r>
    </w:p>
    <w:p w14:paraId="06BD8497" w14:textId="6C8043A8" w:rsidR="00017525" w:rsidRPr="00017525" w:rsidRDefault="00017525" w:rsidP="00017525">
      <w:pPr>
        <w:rPr>
          <w:b/>
          <w:bCs/>
        </w:rPr>
      </w:pPr>
      <w:r w:rsidRPr="00017525">
        <w:rPr>
          <w:b/>
          <w:bCs/>
          <w:color w:val="FF0000"/>
        </w:rPr>
        <w:t xml:space="preserve">Lead author: </w:t>
      </w:r>
      <w:r>
        <w:rPr>
          <w:b/>
          <w:bCs/>
          <w:color w:val="FF0000"/>
        </w:rPr>
        <w:t>CW/</w:t>
      </w:r>
      <w:r w:rsidRPr="00017525">
        <w:rPr>
          <w:b/>
          <w:bCs/>
          <w:color w:val="FF0000"/>
        </w:rPr>
        <w:t>KL</w:t>
      </w:r>
    </w:p>
    <w:p w14:paraId="26523B9A" w14:textId="44B3CF9F" w:rsidR="00F41492" w:rsidRDefault="00F41492" w:rsidP="004C2F44"/>
    <w:p w14:paraId="4130E15A" w14:textId="4B316871" w:rsidR="004C2F44" w:rsidRDefault="004C2F44" w:rsidP="0083513C">
      <w:pPr>
        <w:pStyle w:val="Hdng1"/>
      </w:pPr>
      <w:r>
        <w:t xml:space="preserve">c1. </w:t>
      </w:r>
      <w:r w:rsidR="009A03F7">
        <w:t>Team structure and competences</w:t>
      </w:r>
    </w:p>
    <w:p w14:paraId="583DC2EA" w14:textId="77777777" w:rsidR="00017525" w:rsidRPr="00017525" w:rsidRDefault="00017525" w:rsidP="00017525">
      <w:pPr>
        <w:rPr>
          <w:b/>
          <w:bCs/>
        </w:rPr>
      </w:pPr>
      <w:r w:rsidRPr="00017525">
        <w:rPr>
          <w:b/>
          <w:bCs/>
          <w:color w:val="FF0000"/>
        </w:rPr>
        <w:t>Lead author: KL</w:t>
      </w:r>
    </w:p>
    <w:p w14:paraId="418088DF" w14:textId="7B0FBA56" w:rsidR="009A03F7" w:rsidRDefault="009A03F7" w:rsidP="009A03F7"/>
    <w:p w14:paraId="256C6197" w14:textId="21D316DB" w:rsidR="009A03F7" w:rsidRDefault="009A03F7" w:rsidP="008E7D4B">
      <w:pPr>
        <w:pStyle w:val="Hdng2"/>
      </w:pPr>
      <w:r>
        <w:t>c1.1 The team structure</w:t>
      </w:r>
    </w:p>
    <w:p w14:paraId="546B679E" w14:textId="77777777" w:rsidR="00017525" w:rsidRPr="00017525" w:rsidRDefault="00017525" w:rsidP="00017525">
      <w:pPr>
        <w:rPr>
          <w:b/>
          <w:bCs/>
        </w:rPr>
      </w:pPr>
      <w:r w:rsidRPr="00017525">
        <w:rPr>
          <w:b/>
          <w:bCs/>
          <w:color w:val="FF0000"/>
        </w:rPr>
        <w:t>Lead author: KL</w:t>
      </w:r>
    </w:p>
    <w:p w14:paraId="3A208B34" w14:textId="0D8913D9" w:rsidR="009A03F7" w:rsidRDefault="009A03F7" w:rsidP="009A03F7"/>
    <w:p w14:paraId="5ECB2A05" w14:textId="4CEA3949" w:rsidR="009A03F7" w:rsidRDefault="009A03F7" w:rsidP="008E7D4B">
      <w:pPr>
        <w:pStyle w:val="Hdng2"/>
      </w:pPr>
      <w:r>
        <w:t>c1.2 Team members and competences</w:t>
      </w:r>
    </w:p>
    <w:p w14:paraId="377305B8" w14:textId="77777777" w:rsidR="00017525" w:rsidRPr="00017525" w:rsidRDefault="00017525" w:rsidP="00017525">
      <w:pPr>
        <w:rPr>
          <w:b/>
          <w:bCs/>
        </w:rPr>
      </w:pPr>
      <w:r w:rsidRPr="00017525">
        <w:rPr>
          <w:b/>
          <w:bCs/>
          <w:color w:val="FF0000"/>
        </w:rPr>
        <w:t>Lead author: KL</w:t>
      </w:r>
    </w:p>
    <w:p w14:paraId="50A4759E" w14:textId="77777777" w:rsidR="009A03F7" w:rsidRPr="009A03F7" w:rsidRDefault="009A03F7" w:rsidP="009A03F7"/>
    <w:p w14:paraId="0F83DDCF" w14:textId="50410EE8" w:rsidR="009A03F7" w:rsidRPr="00CA4CFA" w:rsidRDefault="009A03F7" w:rsidP="00CA4CFA">
      <w:pPr>
        <w:pStyle w:val="Hdng3"/>
      </w:pPr>
      <w:r w:rsidRPr="00CA4CFA">
        <w:t>c1.2.1 Team members from Imperial College London</w:t>
      </w:r>
    </w:p>
    <w:p w14:paraId="52AF3E35" w14:textId="77777777" w:rsidR="00017525" w:rsidRPr="00017525" w:rsidRDefault="00017525" w:rsidP="00017525">
      <w:pPr>
        <w:rPr>
          <w:b/>
          <w:bCs/>
        </w:rPr>
      </w:pPr>
      <w:r w:rsidRPr="00017525">
        <w:rPr>
          <w:b/>
          <w:bCs/>
          <w:color w:val="FF0000"/>
        </w:rPr>
        <w:t>Lead author: KL</w:t>
      </w:r>
    </w:p>
    <w:p w14:paraId="6AE5B252" w14:textId="08F6DE0B" w:rsidR="009A03F7" w:rsidRDefault="009A03F7" w:rsidP="009A03F7"/>
    <w:p w14:paraId="01B0EEFE" w14:textId="0BE119F0" w:rsidR="009A03F7" w:rsidRDefault="009A03F7" w:rsidP="00CA4CFA">
      <w:pPr>
        <w:pStyle w:val="Hdng3"/>
      </w:pPr>
      <w:r>
        <w:t>c1.2.2 Team members from other institutes</w:t>
      </w:r>
    </w:p>
    <w:p w14:paraId="27F25358" w14:textId="5FE854EB" w:rsidR="00017525" w:rsidRPr="00017525" w:rsidRDefault="00017525" w:rsidP="00017525">
      <w:pPr>
        <w:rPr>
          <w:b/>
          <w:bCs/>
        </w:rPr>
      </w:pPr>
      <w:r w:rsidRPr="00017525">
        <w:rPr>
          <w:b/>
          <w:bCs/>
          <w:color w:val="FF0000"/>
        </w:rPr>
        <w:t xml:space="preserve">Lead author: </w:t>
      </w:r>
      <w:r>
        <w:rPr>
          <w:b/>
          <w:bCs/>
          <w:color w:val="FF0000"/>
        </w:rPr>
        <w:t>CW/All</w:t>
      </w:r>
    </w:p>
    <w:p w14:paraId="55ACB925" w14:textId="0048A075" w:rsidR="009A03F7" w:rsidRDefault="009A03F7" w:rsidP="009A03F7"/>
    <w:p w14:paraId="7D4057B5" w14:textId="77777777" w:rsidR="009A03F7" w:rsidRDefault="009A03F7" w:rsidP="009A03F7"/>
    <w:p w14:paraId="7BDF8EDC" w14:textId="6B5B77D3" w:rsidR="009A03F7" w:rsidRDefault="009A03F7" w:rsidP="0083513C">
      <w:pPr>
        <w:pStyle w:val="Hdng1"/>
      </w:pPr>
      <w:r>
        <w:t>c2. Major project costs</w:t>
      </w:r>
    </w:p>
    <w:p w14:paraId="2F10D848" w14:textId="795811C8" w:rsidR="009A03F7" w:rsidRPr="00017525" w:rsidRDefault="00017525" w:rsidP="009A03F7">
      <w:pPr>
        <w:rPr>
          <w:b/>
          <w:bCs/>
        </w:rPr>
      </w:pPr>
      <w:r w:rsidRPr="00017525">
        <w:rPr>
          <w:b/>
          <w:bCs/>
          <w:color w:val="FF0000"/>
        </w:rPr>
        <w:t xml:space="preserve">Lead author: </w:t>
      </w:r>
      <w:r>
        <w:rPr>
          <w:b/>
          <w:bCs/>
          <w:color w:val="FF0000"/>
        </w:rPr>
        <w:t>CW/KL</w:t>
      </w:r>
    </w:p>
    <w:p w14:paraId="7DE21018" w14:textId="34461B19" w:rsidR="009A03F7" w:rsidRDefault="009A03F7" w:rsidP="009A03F7"/>
    <w:p w14:paraId="008A58DD" w14:textId="462BCB59" w:rsidR="009A03F7" w:rsidRDefault="009A03F7" w:rsidP="0083513C">
      <w:pPr>
        <w:pStyle w:val="Hdng1"/>
      </w:pPr>
      <w:r>
        <w:t>c3. Project management and work plan</w:t>
      </w:r>
    </w:p>
    <w:p w14:paraId="1924FB50" w14:textId="3AC9E7B5" w:rsidR="009A03F7" w:rsidRDefault="009A03F7" w:rsidP="009A03F7"/>
    <w:p w14:paraId="6ECAD4B5" w14:textId="16B80644" w:rsidR="009A03F7" w:rsidRDefault="009A03F7" w:rsidP="008E7D4B">
      <w:pPr>
        <w:pStyle w:val="Hdng2"/>
      </w:pPr>
      <w:r>
        <w:t>c3.1 Project management</w:t>
      </w:r>
    </w:p>
    <w:p w14:paraId="42AF26FC" w14:textId="689550AA" w:rsidR="00017525" w:rsidRPr="00017525" w:rsidRDefault="00017525" w:rsidP="00017525">
      <w:pPr>
        <w:rPr>
          <w:b/>
          <w:bCs/>
        </w:rPr>
      </w:pPr>
      <w:r w:rsidRPr="00017525">
        <w:rPr>
          <w:b/>
          <w:bCs/>
          <w:color w:val="FF0000"/>
        </w:rPr>
        <w:t xml:space="preserve">Lead author: </w:t>
      </w:r>
      <w:r>
        <w:rPr>
          <w:b/>
          <w:bCs/>
          <w:color w:val="FF0000"/>
        </w:rPr>
        <w:t>CW/KL</w:t>
      </w:r>
    </w:p>
    <w:p w14:paraId="2CD51241" w14:textId="052A2042" w:rsidR="009A03F7" w:rsidRDefault="009A03F7" w:rsidP="009A03F7"/>
    <w:p w14:paraId="3C2432E2" w14:textId="22258B3E" w:rsidR="009A03F7" w:rsidRDefault="009A03F7" w:rsidP="008E7D4B">
      <w:pPr>
        <w:pStyle w:val="Hdng2"/>
      </w:pPr>
      <w:r>
        <w:t>c3.2 Work plan</w:t>
      </w:r>
    </w:p>
    <w:p w14:paraId="1C173784" w14:textId="5BBB6F14" w:rsidR="00017525" w:rsidRPr="00017525" w:rsidRDefault="00017525" w:rsidP="00017525">
      <w:pPr>
        <w:rPr>
          <w:b/>
          <w:bCs/>
        </w:rPr>
      </w:pPr>
      <w:r w:rsidRPr="00017525">
        <w:rPr>
          <w:b/>
          <w:bCs/>
          <w:color w:val="FF0000"/>
        </w:rPr>
        <w:t xml:space="preserve">Lead author: </w:t>
      </w:r>
      <w:r>
        <w:rPr>
          <w:b/>
          <w:bCs/>
          <w:color w:val="FF0000"/>
        </w:rPr>
        <w:t>CW/</w:t>
      </w:r>
      <w:r w:rsidRPr="00017525">
        <w:rPr>
          <w:b/>
          <w:bCs/>
          <w:color w:val="FF0000"/>
        </w:rPr>
        <w:t>KL</w:t>
      </w:r>
    </w:p>
    <w:p w14:paraId="155B7E6D" w14:textId="720DD836" w:rsidR="009A03F7" w:rsidRDefault="009A03F7" w:rsidP="009A03F7"/>
    <w:p w14:paraId="182C8DCD" w14:textId="77777777" w:rsidR="009A03F7" w:rsidRPr="009A03F7" w:rsidRDefault="009A03F7" w:rsidP="009A03F7"/>
    <w:p w14:paraId="3BC54E79" w14:textId="189C0093" w:rsidR="006E2ED9" w:rsidRDefault="009A03F7" w:rsidP="0083513C">
      <w:pPr>
        <w:pStyle w:val="Hdng1"/>
      </w:pPr>
      <w:r>
        <w:t>c4. Project’s legacy; springboard to a step-change in capability</w:t>
      </w:r>
    </w:p>
    <w:p w14:paraId="40A14AC0" w14:textId="77777777" w:rsidR="00017525" w:rsidRPr="00017525" w:rsidRDefault="00017525" w:rsidP="00017525">
      <w:pPr>
        <w:rPr>
          <w:b/>
          <w:bCs/>
        </w:rPr>
      </w:pPr>
      <w:r w:rsidRPr="00017525">
        <w:rPr>
          <w:b/>
          <w:bCs/>
          <w:color w:val="FF0000"/>
        </w:rPr>
        <w:t>Lead author: KL</w:t>
      </w:r>
    </w:p>
    <w:p w14:paraId="33CECC6A" w14:textId="1F84BD26" w:rsidR="009A03F7" w:rsidRDefault="009A03F7" w:rsidP="009A03F7"/>
    <w:p w14:paraId="42592EF3" w14:textId="77777777" w:rsidR="009A03F7" w:rsidRPr="009A03F7" w:rsidRDefault="009A03F7" w:rsidP="009A03F7"/>
    <w:p w14:paraId="1B605565" w14:textId="77777777" w:rsidR="00F9646A" w:rsidRDefault="006E2ED9" w:rsidP="00F9646A">
      <w:pPr>
        <w:rPr>
          <w:b/>
          <w:i/>
          <w:iCs/>
          <w:color w:val="FF0000"/>
          <w:szCs w:val="22"/>
          <w:highlight w:val="lightGray"/>
        </w:rPr>
      </w:pPr>
      <w:r w:rsidRPr="00386999">
        <w:rPr>
          <w:b/>
          <w:i/>
          <w:iCs/>
          <w:color w:val="FF0000"/>
          <w:szCs w:val="22"/>
          <w:highlight w:val="lightGray"/>
        </w:rPr>
        <w:t xml:space="preserve">Do NOT include any description of resources or budget table </w:t>
      </w:r>
      <w:r w:rsidR="00901F82">
        <w:rPr>
          <w:b/>
          <w:i/>
          <w:iCs/>
          <w:color w:val="FF0000"/>
          <w:szCs w:val="22"/>
          <w:highlight w:val="lightGray"/>
        </w:rPr>
        <w:t>here</w:t>
      </w:r>
      <w:r w:rsidRPr="00386999">
        <w:rPr>
          <w:b/>
          <w:i/>
          <w:iCs/>
          <w:color w:val="FF0000"/>
          <w:szCs w:val="22"/>
          <w:highlight w:val="lightGray"/>
        </w:rPr>
        <w:t xml:space="preserve"> </w:t>
      </w:r>
      <w:r w:rsidR="00901F82">
        <w:rPr>
          <w:b/>
          <w:i/>
          <w:iCs/>
          <w:color w:val="FF0000"/>
          <w:szCs w:val="22"/>
          <w:highlight w:val="lightGray"/>
        </w:rPr>
        <w:t>(</w:t>
      </w:r>
      <w:r w:rsidRPr="00386999">
        <w:rPr>
          <w:b/>
          <w:i/>
          <w:iCs/>
          <w:color w:val="FF0000"/>
          <w:szCs w:val="22"/>
          <w:highlight w:val="lightGray"/>
        </w:rPr>
        <w:t>Part B2</w:t>
      </w:r>
      <w:r w:rsidR="00901F82">
        <w:rPr>
          <w:b/>
          <w:i/>
          <w:iCs/>
          <w:color w:val="FF0000"/>
          <w:szCs w:val="22"/>
          <w:highlight w:val="lightGray"/>
        </w:rPr>
        <w:t>)</w:t>
      </w:r>
      <w:r w:rsidR="00740CCE">
        <w:rPr>
          <w:b/>
          <w:i/>
          <w:iCs/>
          <w:color w:val="FF0000"/>
          <w:szCs w:val="22"/>
          <w:highlight w:val="lightGray"/>
        </w:rPr>
        <w:t>.</w:t>
      </w:r>
      <w:r w:rsidRPr="00386999">
        <w:rPr>
          <w:b/>
          <w:i/>
          <w:iCs/>
          <w:color w:val="FF0000"/>
          <w:szCs w:val="22"/>
          <w:highlight w:val="lightGray"/>
        </w:rPr>
        <w:t xml:space="preserve"> The Resources </w:t>
      </w:r>
      <w:r w:rsidR="00901F82">
        <w:rPr>
          <w:b/>
          <w:i/>
          <w:iCs/>
          <w:color w:val="FF0000"/>
          <w:szCs w:val="22"/>
          <w:highlight w:val="lightGray"/>
        </w:rPr>
        <w:t xml:space="preserve">section </w:t>
      </w:r>
      <w:r w:rsidR="00740CCE">
        <w:rPr>
          <w:b/>
          <w:i/>
          <w:iCs/>
          <w:color w:val="FF0000"/>
          <w:szCs w:val="22"/>
          <w:highlight w:val="lightGray"/>
        </w:rPr>
        <w:t xml:space="preserve">and </w:t>
      </w:r>
      <w:r w:rsidR="009221A7">
        <w:rPr>
          <w:b/>
          <w:i/>
          <w:iCs/>
          <w:color w:val="FF0000"/>
          <w:szCs w:val="22"/>
          <w:highlight w:val="lightGray"/>
        </w:rPr>
        <w:t xml:space="preserve">the detailed budget table </w:t>
      </w:r>
      <w:r w:rsidR="00956C35">
        <w:rPr>
          <w:b/>
          <w:i/>
          <w:iCs/>
          <w:color w:val="FF0000"/>
          <w:szCs w:val="22"/>
          <w:highlight w:val="lightGray"/>
        </w:rPr>
        <w:t>are</w:t>
      </w:r>
      <w:r w:rsidR="00956C35" w:rsidRPr="00386999">
        <w:rPr>
          <w:b/>
          <w:i/>
          <w:iCs/>
          <w:color w:val="FF0000"/>
          <w:szCs w:val="22"/>
          <w:highlight w:val="lightGray"/>
        </w:rPr>
        <w:t xml:space="preserve"> </w:t>
      </w:r>
      <w:r w:rsidRPr="00386999">
        <w:rPr>
          <w:b/>
          <w:i/>
          <w:iCs/>
          <w:color w:val="FF0000"/>
          <w:szCs w:val="22"/>
          <w:highlight w:val="lightGray"/>
        </w:rPr>
        <w:t xml:space="preserve">now part of the online submission form (Part A, Section 3 - Budget). </w:t>
      </w:r>
      <w:r w:rsidR="00F9646A">
        <w:rPr>
          <w:b/>
          <w:i/>
          <w:iCs/>
          <w:color w:val="FF0000"/>
          <w:szCs w:val="22"/>
          <w:highlight w:val="lightGray"/>
        </w:rPr>
        <w:t xml:space="preserve">This section 3 will be extracted and provided to the peer reviewers. </w:t>
      </w:r>
    </w:p>
    <w:p w14:paraId="59B8CA93" w14:textId="77777777" w:rsidR="0020419A" w:rsidRPr="00C85F7E" w:rsidRDefault="0020419A" w:rsidP="000368D9">
      <w:pPr>
        <w:rPr>
          <w:iCs/>
          <w:szCs w:val="22"/>
        </w:rPr>
      </w:pPr>
    </w:p>
    <w:sectPr w:rsidR="0020419A" w:rsidRPr="00C85F7E" w:rsidSect="00E636C2">
      <w:headerReference w:type="default" r:id="rId8"/>
      <w:footerReference w:type="default" r:id="rId9"/>
      <w:pgSz w:w="11906" w:h="16838" w:code="9"/>
      <w:pgMar w:top="851" w:right="1134" w:bottom="851" w:left="1134" w:header="539" w:footer="567" w:gutter="0"/>
      <w:cols w:space="709"/>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EB49BF0" w14:textId="77777777" w:rsidR="00A9794E" w:rsidRDefault="00A9794E">
      <w:r>
        <w:separator/>
      </w:r>
    </w:p>
  </w:endnote>
  <w:endnote w:type="continuationSeparator" w:id="0">
    <w:p w14:paraId="242BC5C6" w14:textId="77777777" w:rsidR="00A9794E" w:rsidRDefault="00A9794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2EAFD2" w14:textId="77777777" w:rsidR="008A32CA" w:rsidRDefault="008A32CA" w:rsidP="007E56E2">
    <w:pPr>
      <w:pStyle w:val="Footer"/>
      <w:framePr w:wrap="auto"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180BDD">
      <w:rPr>
        <w:rStyle w:val="PageNumber"/>
        <w:noProof/>
      </w:rPr>
      <w:t>1</w:t>
    </w:r>
    <w:r>
      <w:rPr>
        <w:rStyle w:val="PageNumber"/>
      </w:rPr>
      <w:fldChar w:fldCharType="end"/>
    </w:r>
  </w:p>
  <w:p w14:paraId="161BD612" w14:textId="77777777" w:rsidR="008A32CA" w:rsidRDefault="008A32C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E29910C" w14:textId="77777777" w:rsidR="00A9794E" w:rsidRDefault="00A9794E">
      <w:r>
        <w:separator/>
      </w:r>
    </w:p>
  </w:footnote>
  <w:footnote w:type="continuationSeparator" w:id="0">
    <w:p w14:paraId="0D2FF572" w14:textId="77777777" w:rsidR="00A9794E" w:rsidRDefault="00A9794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6AF22F2" w14:textId="7A1D5A99" w:rsidR="008A32CA" w:rsidRPr="00270E21" w:rsidRDefault="00B91802" w:rsidP="00B91802">
    <w:pPr>
      <w:pStyle w:val="Header"/>
      <w:tabs>
        <w:tab w:val="clear" w:pos="4536"/>
        <w:tab w:val="clear" w:pos="9072"/>
        <w:tab w:val="center" w:pos="4820"/>
        <w:tab w:val="right" w:pos="9638"/>
      </w:tabs>
      <w:rPr>
        <w:i/>
        <w:iCs/>
        <w:szCs w:val="22"/>
      </w:rPr>
    </w:pPr>
    <w:r>
      <w:rPr>
        <w:i/>
        <w:iCs/>
        <w:szCs w:val="22"/>
      </w:rPr>
      <w:t>LONG</w:t>
    </w:r>
    <w:r w:rsidR="008A32CA" w:rsidRPr="00270E21">
      <w:rPr>
        <w:szCs w:val="22"/>
      </w:rPr>
      <w:tab/>
    </w:r>
    <w:r w:rsidR="008A32CA">
      <w:rPr>
        <w:szCs w:val="22"/>
      </w:rPr>
      <w:t xml:space="preserve">Part </w:t>
    </w:r>
    <w:r w:rsidR="009F6828">
      <w:rPr>
        <w:szCs w:val="22"/>
      </w:rPr>
      <w:t>B2</w:t>
    </w:r>
    <w:r w:rsidR="008A32CA" w:rsidRPr="00270E21">
      <w:rPr>
        <w:szCs w:val="22"/>
      </w:rPr>
      <w:tab/>
    </w:r>
    <w:proofErr w:type="spellStart"/>
    <w:r>
      <w:rPr>
        <w:szCs w:val="22"/>
      </w:rPr>
      <w:t>CaptureLhARA</w:t>
    </w:r>
    <w:proofErr w:type="spellEnd"/>
  </w:p>
  <w:p w14:paraId="57DC4B65" w14:textId="77777777" w:rsidR="008A32CA" w:rsidRDefault="008A32CA" w:rsidP="007E56E2">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E74321"/>
    <w:multiLevelType w:val="hybridMultilevel"/>
    <w:tmpl w:val="1C8C97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CF526CF"/>
    <w:multiLevelType w:val="hybridMultilevel"/>
    <w:tmpl w:val="3FBC97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69917CF"/>
    <w:multiLevelType w:val="hybridMultilevel"/>
    <w:tmpl w:val="A31E2482"/>
    <w:lvl w:ilvl="0" w:tplc="08090001">
      <w:start w:val="1"/>
      <w:numFmt w:val="bullet"/>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080"/>
        </w:tabs>
        <w:ind w:left="1080" w:hanging="360"/>
      </w:pPr>
      <w:rPr>
        <w:rFonts w:ascii="Courier New" w:hAnsi="Courier New" w:hint="default"/>
      </w:rPr>
    </w:lvl>
    <w:lvl w:ilvl="2" w:tplc="08090005" w:tentative="1">
      <w:start w:val="1"/>
      <w:numFmt w:val="bullet"/>
      <w:lvlText w:val=""/>
      <w:lvlJc w:val="left"/>
      <w:pPr>
        <w:tabs>
          <w:tab w:val="num" w:pos="1800"/>
        </w:tabs>
        <w:ind w:left="1800" w:hanging="360"/>
      </w:pPr>
      <w:rPr>
        <w:rFonts w:ascii="Wingdings" w:hAnsi="Wingdings" w:hint="default"/>
      </w:rPr>
    </w:lvl>
    <w:lvl w:ilvl="3" w:tplc="08090001" w:tentative="1">
      <w:start w:val="1"/>
      <w:numFmt w:val="bullet"/>
      <w:lvlText w:val=""/>
      <w:lvlJc w:val="left"/>
      <w:pPr>
        <w:tabs>
          <w:tab w:val="num" w:pos="2520"/>
        </w:tabs>
        <w:ind w:left="2520" w:hanging="360"/>
      </w:pPr>
      <w:rPr>
        <w:rFonts w:ascii="Symbol" w:hAnsi="Symbol" w:hint="default"/>
      </w:rPr>
    </w:lvl>
    <w:lvl w:ilvl="4" w:tplc="08090003" w:tentative="1">
      <w:start w:val="1"/>
      <w:numFmt w:val="bullet"/>
      <w:lvlText w:val="o"/>
      <w:lvlJc w:val="left"/>
      <w:pPr>
        <w:tabs>
          <w:tab w:val="num" w:pos="3240"/>
        </w:tabs>
        <w:ind w:left="3240" w:hanging="360"/>
      </w:pPr>
      <w:rPr>
        <w:rFonts w:ascii="Courier New" w:hAnsi="Courier New" w:hint="default"/>
      </w:rPr>
    </w:lvl>
    <w:lvl w:ilvl="5" w:tplc="08090005" w:tentative="1">
      <w:start w:val="1"/>
      <w:numFmt w:val="bullet"/>
      <w:lvlText w:val=""/>
      <w:lvlJc w:val="left"/>
      <w:pPr>
        <w:tabs>
          <w:tab w:val="num" w:pos="3960"/>
        </w:tabs>
        <w:ind w:left="3960" w:hanging="360"/>
      </w:pPr>
      <w:rPr>
        <w:rFonts w:ascii="Wingdings" w:hAnsi="Wingdings" w:hint="default"/>
      </w:rPr>
    </w:lvl>
    <w:lvl w:ilvl="6" w:tplc="08090001" w:tentative="1">
      <w:start w:val="1"/>
      <w:numFmt w:val="bullet"/>
      <w:lvlText w:val=""/>
      <w:lvlJc w:val="left"/>
      <w:pPr>
        <w:tabs>
          <w:tab w:val="num" w:pos="4680"/>
        </w:tabs>
        <w:ind w:left="4680" w:hanging="360"/>
      </w:pPr>
      <w:rPr>
        <w:rFonts w:ascii="Symbol" w:hAnsi="Symbol" w:hint="default"/>
      </w:rPr>
    </w:lvl>
    <w:lvl w:ilvl="7" w:tplc="08090003" w:tentative="1">
      <w:start w:val="1"/>
      <w:numFmt w:val="bullet"/>
      <w:lvlText w:val="o"/>
      <w:lvlJc w:val="left"/>
      <w:pPr>
        <w:tabs>
          <w:tab w:val="num" w:pos="5400"/>
        </w:tabs>
        <w:ind w:left="5400" w:hanging="360"/>
      </w:pPr>
      <w:rPr>
        <w:rFonts w:ascii="Courier New" w:hAnsi="Courier New" w:hint="default"/>
      </w:rPr>
    </w:lvl>
    <w:lvl w:ilvl="8" w:tplc="08090005" w:tentative="1">
      <w:start w:val="1"/>
      <w:numFmt w:val="bullet"/>
      <w:lvlText w:val=""/>
      <w:lvlJc w:val="left"/>
      <w:pPr>
        <w:tabs>
          <w:tab w:val="num" w:pos="6120"/>
        </w:tabs>
        <w:ind w:left="6120" w:hanging="360"/>
      </w:pPr>
      <w:rPr>
        <w:rFonts w:ascii="Wingdings" w:hAnsi="Wingdings" w:hint="default"/>
      </w:rPr>
    </w:lvl>
  </w:abstractNum>
  <w:abstractNum w:abstractNumId="3" w15:restartNumberingAfterBreak="0">
    <w:nsid w:val="5BA63C96"/>
    <w:multiLevelType w:val="hybridMultilevel"/>
    <w:tmpl w:val="029C6C64"/>
    <w:lvl w:ilvl="0" w:tplc="08090001">
      <w:start w:val="1"/>
      <w:numFmt w:val="bullet"/>
      <w:lvlText w:val=""/>
      <w:lvlJc w:val="left"/>
      <w:pPr>
        <w:ind w:left="772" w:hanging="360"/>
      </w:pPr>
      <w:rPr>
        <w:rFonts w:ascii="Symbol" w:hAnsi="Symbol" w:hint="default"/>
      </w:rPr>
    </w:lvl>
    <w:lvl w:ilvl="1" w:tplc="08090003" w:tentative="1">
      <w:start w:val="1"/>
      <w:numFmt w:val="bullet"/>
      <w:lvlText w:val="o"/>
      <w:lvlJc w:val="left"/>
      <w:pPr>
        <w:ind w:left="1492" w:hanging="360"/>
      </w:pPr>
      <w:rPr>
        <w:rFonts w:ascii="Courier New" w:hAnsi="Courier New" w:cs="Courier New" w:hint="default"/>
      </w:rPr>
    </w:lvl>
    <w:lvl w:ilvl="2" w:tplc="08090005" w:tentative="1">
      <w:start w:val="1"/>
      <w:numFmt w:val="bullet"/>
      <w:lvlText w:val=""/>
      <w:lvlJc w:val="left"/>
      <w:pPr>
        <w:ind w:left="2212" w:hanging="360"/>
      </w:pPr>
      <w:rPr>
        <w:rFonts w:ascii="Wingdings" w:hAnsi="Wingdings" w:hint="default"/>
      </w:rPr>
    </w:lvl>
    <w:lvl w:ilvl="3" w:tplc="08090001" w:tentative="1">
      <w:start w:val="1"/>
      <w:numFmt w:val="bullet"/>
      <w:lvlText w:val=""/>
      <w:lvlJc w:val="left"/>
      <w:pPr>
        <w:ind w:left="2932" w:hanging="360"/>
      </w:pPr>
      <w:rPr>
        <w:rFonts w:ascii="Symbol" w:hAnsi="Symbol" w:hint="default"/>
      </w:rPr>
    </w:lvl>
    <w:lvl w:ilvl="4" w:tplc="08090003" w:tentative="1">
      <w:start w:val="1"/>
      <w:numFmt w:val="bullet"/>
      <w:lvlText w:val="o"/>
      <w:lvlJc w:val="left"/>
      <w:pPr>
        <w:ind w:left="3652" w:hanging="360"/>
      </w:pPr>
      <w:rPr>
        <w:rFonts w:ascii="Courier New" w:hAnsi="Courier New" w:cs="Courier New" w:hint="default"/>
      </w:rPr>
    </w:lvl>
    <w:lvl w:ilvl="5" w:tplc="08090005" w:tentative="1">
      <w:start w:val="1"/>
      <w:numFmt w:val="bullet"/>
      <w:lvlText w:val=""/>
      <w:lvlJc w:val="left"/>
      <w:pPr>
        <w:ind w:left="4372" w:hanging="360"/>
      </w:pPr>
      <w:rPr>
        <w:rFonts w:ascii="Wingdings" w:hAnsi="Wingdings" w:hint="default"/>
      </w:rPr>
    </w:lvl>
    <w:lvl w:ilvl="6" w:tplc="08090001" w:tentative="1">
      <w:start w:val="1"/>
      <w:numFmt w:val="bullet"/>
      <w:lvlText w:val=""/>
      <w:lvlJc w:val="left"/>
      <w:pPr>
        <w:ind w:left="5092" w:hanging="360"/>
      </w:pPr>
      <w:rPr>
        <w:rFonts w:ascii="Symbol" w:hAnsi="Symbol" w:hint="default"/>
      </w:rPr>
    </w:lvl>
    <w:lvl w:ilvl="7" w:tplc="08090003" w:tentative="1">
      <w:start w:val="1"/>
      <w:numFmt w:val="bullet"/>
      <w:lvlText w:val="o"/>
      <w:lvlJc w:val="left"/>
      <w:pPr>
        <w:ind w:left="5812" w:hanging="360"/>
      </w:pPr>
      <w:rPr>
        <w:rFonts w:ascii="Courier New" w:hAnsi="Courier New" w:cs="Courier New" w:hint="default"/>
      </w:rPr>
    </w:lvl>
    <w:lvl w:ilvl="8" w:tplc="08090005" w:tentative="1">
      <w:start w:val="1"/>
      <w:numFmt w:val="bullet"/>
      <w:lvlText w:val=""/>
      <w:lvlJc w:val="left"/>
      <w:pPr>
        <w:ind w:left="6532" w:hanging="360"/>
      </w:pPr>
      <w:rPr>
        <w:rFonts w:ascii="Wingdings" w:hAnsi="Wingdings" w:hint="default"/>
      </w:rPr>
    </w:lvl>
  </w:abstractNum>
  <w:abstractNum w:abstractNumId="4" w15:restartNumberingAfterBreak="0">
    <w:nsid w:val="7E2D6110"/>
    <w:multiLevelType w:val="hybridMultilevel"/>
    <w:tmpl w:val="2F96D58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0"/>
  </w:num>
  <w:num w:numId="3">
    <w:abstractNumId w:val="3"/>
  </w:num>
  <w:num w:numId="4">
    <w:abstractNumId w:val="1"/>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val="bestFit" w:percent="192"/>
  <w:displayBackgroundShape/>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oNotHyphenateCaps/>
  <w:characterSpacingControl w:val="doNotCompress"/>
  <w:doNotValidateAgainstSchema/>
  <w:doNotDemarcateInvalidXml/>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W_DocType" w:val="NORMAL"/>
  </w:docVars>
  <w:rsids>
    <w:rsidRoot w:val="00641000"/>
    <w:rsid w:val="00003A94"/>
    <w:rsid w:val="00007007"/>
    <w:rsid w:val="000106F1"/>
    <w:rsid w:val="0001220C"/>
    <w:rsid w:val="00012FB9"/>
    <w:rsid w:val="000138D3"/>
    <w:rsid w:val="00017525"/>
    <w:rsid w:val="000203BD"/>
    <w:rsid w:val="00025F11"/>
    <w:rsid w:val="00030717"/>
    <w:rsid w:val="00030B32"/>
    <w:rsid w:val="0003372B"/>
    <w:rsid w:val="00034552"/>
    <w:rsid w:val="000364C3"/>
    <w:rsid w:val="000368D9"/>
    <w:rsid w:val="00043F1B"/>
    <w:rsid w:val="0005003E"/>
    <w:rsid w:val="0005070D"/>
    <w:rsid w:val="00050924"/>
    <w:rsid w:val="000533C1"/>
    <w:rsid w:val="00064F28"/>
    <w:rsid w:val="000656D5"/>
    <w:rsid w:val="000666E5"/>
    <w:rsid w:val="000705CF"/>
    <w:rsid w:val="00072C6B"/>
    <w:rsid w:val="0007332D"/>
    <w:rsid w:val="00075C1A"/>
    <w:rsid w:val="00075ED2"/>
    <w:rsid w:val="0009201D"/>
    <w:rsid w:val="00092156"/>
    <w:rsid w:val="00097D61"/>
    <w:rsid w:val="000A216F"/>
    <w:rsid w:val="000A34DC"/>
    <w:rsid w:val="000A3BB3"/>
    <w:rsid w:val="000A40BD"/>
    <w:rsid w:val="000B0863"/>
    <w:rsid w:val="000B2E44"/>
    <w:rsid w:val="000B3E40"/>
    <w:rsid w:val="000B48E0"/>
    <w:rsid w:val="000C4C02"/>
    <w:rsid w:val="000C7E93"/>
    <w:rsid w:val="000E637C"/>
    <w:rsid w:val="000F1222"/>
    <w:rsid w:val="000F13B6"/>
    <w:rsid w:val="000F259A"/>
    <w:rsid w:val="000F390C"/>
    <w:rsid w:val="000F64C0"/>
    <w:rsid w:val="000F6C6B"/>
    <w:rsid w:val="00100533"/>
    <w:rsid w:val="0010168D"/>
    <w:rsid w:val="00110418"/>
    <w:rsid w:val="001136F1"/>
    <w:rsid w:val="00114F5B"/>
    <w:rsid w:val="001176EF"/>
    <w:rsid w:val="0012041B"/>
    <w:rsid w:val="001218F5"/>
    <w:rsid w:val="001264DE"/>
    <w:rsid w:val="001268E0"/>
    <w:rsid w:val="00126F86"/>
    <w:rsid w:val="00131CF3"/>
    <w:rsid w:val="00134896"/>
    <w:rsid w:val="00135304"/>
    <w:rsid w:val="0013655A"/>
    <w:rsid w:val="00136914"/>
    <w:rsid w:val="00142A93"/>
    <w:rsid w:val="00146F2D"/>
    <w:rsid w:val="0015159C"/>
    <w:rsid w:val="00154459"/>
    <w:rsid w:val="00156336"/>
    <w:rsid w:val="0016304A"/>
    <w:rsid w:val="0016381E"/>
    <w:rsid w:val="001665E8"/>
    <w:rsid w:val="00176831"/>
    <w:rsid w:val="00180BDD"/>
    <w:rsid w:val="0018159B"/>
    <w:rsid w:val="001907DA"/>
    <w:rsid w:val="00191552"/>
    <w:rsid w:val="001A0DEA"/>
    <w:rsid w:val="001A2372"/>
    <w:rsid w:val="001B46DF"/>
    <w:rsid w:val="001D6400"/>
    <w:rsid w:val="001D7B64"/>
    <w:rsid w:val="001E0636"/>
    <w:rsid w:val="001E165A"/>
    <w:rsid w:val="001E35C7"/>
    <w:rsid w:val="00200C7B"/>
    <w:rsid w:val="00203E37"/>
    <w:rsid w:val="0020419A"/>
    <w:rsid w:val="00207C67"/>
    <w:rsid w:val="00211F87"/>
    <w:rsid w:val="00213A5B"/>
    <w:rsid w:val="0021773F"/>
    <w:rsid w:val="002230A2"/>
    <w:rsid w:val="00237B2C"/>
    <w:rsid w:val="002431CB"/>
    <w:rsid w:val="00243C2D"/>
    <w:rsid w:val="0025008C"/>
    <w:rsid w:val="00253FA0"/>
    <w:rsid w:val="0026323A"/>
    <w:rsid w:val="00264828"/>
    <w:rsid w:val="002665E0"/>
    <w:rsid w:val="00270E21"/>
    <w:rsid w:val="00273B08"/>
    <w:rsid w:val="00274867"/>
    <w:rsid w:val="0029281A"/>
    <w:rsid w:val="0029699C"/>
    <w:rsid w:val="002B1A55"/>
    <w:rsid w:val="002B76E2"/>
    <w:rsid w:val="002C4235"/>
    <w:rsid w:val="002C4421"/>
    <w:rsid w:val="002D705D"/>
    <w:rsid w:val="002E4248"/>
    <w:rsid w:val="002E4BB4"/>
    <w:rsid w:val="002E508C"/>
    <w:rsid w:val="002F3F32"/>
    <w:rsid w:val="002F63A0"/>
    <w:rsid w:val="003108B6"/>
    <w:rsid w:val="00322E26"/>
    <w:rsid w:val="003273B1"/>
    <w:rsid w:val="003373B6"/>
    <w:rsid w:val="00341B39"/>
    <w:rsid w:val="00344F4F"/>
    <w:rsid w:val="003521BF"/>
    <w:rsid w:val="0035722A"/>
    <w:rsid w:val="00361F84"/>
    <w:rsid w:val="00377D95"/>
    <w:rsid w:val="00377E55"/>
    <w:rsid w:val="00377EBF"/>
    <w:rsid w:val="00383E88"/>
    <w:rsid w:val="00386999"/>
    <w:rsid w:val="00390B13"/>
    <w:rsid w:val="003917F6"/>
    <w:rsid w:val="00392022"/>
    <w:rsid w:val="0039250E"/>
    <w:rsid w:val="00393A1A"/>
    <w:rsid w:val="003965DE"/>
    <w:rsid w:val="003A2654"/>
    <w:rsid w:val="003A579C"/>
    <w:rsid w:val="003A62D4"/>
    <w:rsid w:val="003A7651"/>
    <w:rsid w:val="003C1FC7"/>
    <w:rsid w:val="003D3C9A"/>
    <w:rsid w:val="003D7635"/>
    <w:rsid w:val="003D7E7F"/>
    <w:rsid w:val="003E6101"/>
    <w:rsid w:val="003F1F28"/>
    <w:rsid w:val="003F78D1"/>
    <w:rsid w:val="00403744"/>
    <w:rsid w:val="00407B10"/>
    <w:rsid w:val="004137E3"/>
    <w:rsid w:val="0044183C"/>
    <w:rsid w:val="00441ED5"/>
    <w:rsid w:val="004446D2"/>
    <w:rsid w:val="004462E9"/>
    <w:rsid w:val="00446D76"/>
    <w:rsid w:val="00450102"/>
    <w:rsid w:val="00450A9C"/>
    <w:rsid w:val="0045344C"/>
    <w:rsid w:val="00464D68"/>
    <w:rsid w:val="00464E2C"/>
    <w:rsid w:val="00473F55"/>
    <w:rsid w:val="00480467"/>
    <w:rsid w:val="00486EBF"/>
    <w:rsid w:val="00490E67"/>
    <w:rsid w:val="00491F1E"/>
    <w:rsid w:val="004963BF"/>
    <w:rsid w:val="004B2C61"/>
    <w:rsid w:val="004B4926"/>
    <w:rsid w:val="004C2F44"/>
    <w:rsid w:val="004C417A"/>
    <w:rsid w:val="004C4AA0"/>
    <w:rsid w:val="004D5F3C"/>
    <w:rsid w:val="004E1C01"/>
    <w:rsid w:val="004E2275"/>
    <w:rsid w:val="004E2D1A"/>
    <w:rsid w:val="004E3EBE"/>
    <w:rsid w:val="004E4245"/>
    <w:rsid w:val="004E6D30"/>
    <w:rsid w:val="004F059E"/>
    <w:rsid w:val="004F2B2B"/>
    <w:rsid w:val="004F5C87"/>
    <w:rsid w:val="005056C3"/>
    <w:rsid w:val="00510B03"/>
    <w:rsid w:val="005243D3"/>
    <w:rsid w:val="00527CAA"/>
    <w:rsid w:val="005301D0"/>
    <w:rsid w:val="0053133C"/>
    <w:rsid w:val="005313D1"/>
    <w:rsid w:val="00532D75"/>
    <w:rsid w:val="00534D38"/>
    <w:rsid w:val="00535A8D"/>
    <w:rsid w:val="00535F77"/>
    <w:rsid w:val="00537988"/>
    <w:rsid w:val="00537D7B"/>
    <w:rsid w:val="00546DDE"/>
    <w:rsid w:val="005500EE"/>
    <w:rsid w:val="00551D34"/>
    <w:rsid w:val="005565C3"/>
    <w:rsid w:val="00560986"/>
    <w:rsid w:val="00566053"/>
    <w:rsid w:val="00573B96"/>
    <w:rsid w:val="005763B7"/>
    <w:rsid w:val="00580D6C"/>
    <w:rsid w:val="005869E0"/>
    <w:rsid w:val="00591AEA"/>
    <w:rsid w:val="00592A20"/>
    <w:rsid w:val="00593058"/>
    <w:rsid w:val="00593E0C"/>
    <w:rsid w:val="0059570F"/>
    <w:rsid w:val="005A30A8"/>
    <w:rsid w:val="005A30FD"/>
    <w:rsid w:val="005A329E"/>
    <w:rsid w:val="005B0B5F"/>
    <w:rsid w:val="005B2907"/>
    <w:rsid w:val="005C0CE6"/>
    <w:rsid w:val="005C3959"/>
    <w:rsid w:val="005C61F2"/>
    <w:rsid w:val="005C761D"/>
    <w:rsid w:val="005D7A5C"/>
    <w:rsid w:val="005E30E5"/>
    <w:rsid w:val="005E7DD5"/>
    <w:rsid w:val="005F43DA"/>
    <w:rsid w:val="005F6156"/>
    <w:rsid w:val="00600A29"/>
    <w:rsid w:val="00601359"/>
    <w:rsid w:val="006175E0"/>
    <w:rsid w:val="00622815"/>
    <w:rsid w:val="00631E68"/>
    <w:rsid w:val="006354D3"/>
    <w:rsid w:val="00640870"/>
    <w:rsid w:val="00641000"/>
    <w:rsid w:val="0064162B"/>
    <w:rsid w:val="006441BD"/>
    <w:rsid w:val="0065231C"/>
    <w:rsid w:val="00653F3C"/>
    <w:rsid w:val="00656343"/>
    <w:rsid w:val="006625D4"/>
    <w:rsid w:val="00663F4F"/>
    <w:rsid w:val="006645E2"/>
    <w:rsid w:val="0066549D"/>
    <w:rsid w:val="0066573F"/>
    <w:rsid w:val="00672FD4"/>
    <w:rsid w:val="00680886"/>
    <w:rsid w:val="00682D20"/>
    <w:rsid w:val="00683345"/>
    <w:rsid w:val="006862CB"/>
    <w:rsid w:val="00694B76"/>
    <w:rsid w:val="006957FA"/>
    <w:rsid w:val="00696771"/>
    <w:rsid w:val="00697E88"/>
    <w:rsid w:val="006B3D6A"/>
    <w:rsid w:val="006C0D4E"/>
    <w:rsid w:val="006C7595"/>
    <w:rsid w:val="006D089C"/>
    <w:rsid w:val="006D1FCF"/>
    <w:rsid w:val="006D2BCB"/>
    <w:rsid w:val="006D43BE"/>
    <w:rsid w:val="006E2ED9"/>
    <w:rsid w:val="006F1F77"/>
    <w:rsid w:val="006F37B6"/>
    <w:rsid w:val="006F6761"/>
    <w:rsid w:val="007011D4"/>
    <w:rsid w:val="00703153"/>
    <w:rsid w:val="00705E3D"/>
    <w:rsid w:val="00713AC2"/>
    <w:rsid w:val="00714F8A"/>
    <w:rsid w:val="00724614"/>
    <w:rsid w:val="007309CC"/>
    <w:rsid w:val="007323D0"/>
    <w:rsid w:val="00740CCE"/>
    <w:rsid w:val="00744047"/>
    <w:rsid w:val="00746831"/>
    <w:rsid w:val="00747D50"/>
    <w:rsid w:val="0075250D"/>
    <w:rsid w:val="00755739"/>
    <w:rsid w:val="00756291"/>
    <w:rsid w:val="00762179"/>
    <w:rsid w:val="0076218F"/>
    <w:rsid w:val="00763079"/>
    <w:rsid w:val="00777230"/>
    <w:rsid w:val="00782032"/>
    <w:rsid w:val="00790DBF"/>
    <w:rsid w:val="007921E2"/>
    <w:rsid w:val="007930FB"/>
    <w:rsid w:val="0079356A"/>
    <w:rsid w:val="007A2515"/>
    <w:rsid w:val="007A48CB"/>
    <w:rsid w:val="007A763B"/>
    <w:rsid w:val="007B1FD8"/>
    <w:rsid w:val="007B35F6"/>
    <w:rsid w:val="007B5D33"/>
    <w:rsid w:val="007B6BA2"/>
    <w:rsid w:val="007C603A"/>
    <w:rsid w:val="007D1857"/>
    <w:rsid w:val="007D2A04"/>
    <w:rsid w:val="007D6221"/>
    <w:rsid w:val="007E21C9"/>
    <w:rsid w:val="007E56E2"/>
    <w:rsid w:val="007F4212"/>
    <w:rsid w:val="007F5D3F"/>
    <w:rsid w:val="00802497"/>
    <w:rsid w:val="00804B51"/>
    <w:rsid w:val="00807934"/>
    <w:rsid w:val="0081366C"/>
    <w:rsid w:val="00813A0E"/>
    <w:rsid w:val="00813C75"/>
    <w:rsid w:val="00816F44"/>
    <w:rsid w:val="00822660"/>
    <w:rsid w:val="00824EC5"/>
    <w:rsid w:val="00824F71"/>
    <w:rsid w:val="008307A2"/>
    <w:rsid w:val="0083289C"/>
    <w:rsid w:val="0083513C"/>
    <w:rsid w:val="00835B9D"/>
    <w:rsid w:val="0083643C"/>
    <w:rsid w:val="00836C35"/>
    <w:rsid w:val="00836DD0"/>
    <w:rsid w:val="00844816"/>
    <w:rsid w:val="008721B3"/>
    <w:rsid w:val="00887821"/>
    <w:rsid w:val="00890AD7"/>
    <w:rsid w:val="00890CEB"/>
    <w:rsid w:val="0089150E"/>
    <w:rsid w:val="008979DC"/>
    <w:rsid w:val="008A32CA"/>
    <w:rsid w:val="008A4C3F"/>
    <w:rsid w:val="008B1E15"/>
    <w:rsid w:val="008B2DBA"/>
    <w:rsid w:val="008C55EE"/>
    <w:rsid w:val="008C7839"/>
    <w:rsid w:val="008D6958"/>
    <w:rsid w:val="008D7B8D"/>
    <w:rsid w:val="008E7D4B"/>
    <w:rsid w:val="008F069A"/>
    <w:rsid w:val="008F59ED"/>
    <w:rsid w:val="00901F82"/>
    <w:rsid w:val="00902840"/>
    <w:rsid w:val="009051CF"/>
    <w:rsid w:val="00905C61"/>
    <w:rsid w:val="00907449"/>
    <w:rsid w:val="0091065B"/>
    <w:rsid w:val="00912116"/>
    <w:rsid w:val="009171BC"/>
    <w:rsid w:val="009205BE"/>
    <w:rsid w:val="0092209B"/>
    <w:rsid w:val="009221A7"/>
    <w:rsid w:val="009272C6"/>
    <w:rsid w:val="0093032C"/>
    <w:rsid w:val="00930A8F"/>
    <w:rsid w:val="00932061"/>
    <w:rsid w:val="009337DE"/>
    <w:rsid w:val="00934190"/>
    <w:rsid w:val="00934317"/>
    <w:rsid w:val="00936401"/>
    <w:rsid w:val="009367FB"/>
    <w:rsid w:val="00942FA0"/>
    <w:rsid w:val="0095115F"/>
    <w:rsid w:val="00956C35"/>
    <w:rsid w:val="00960C71"/>
    <w:rsid w:val="009629A7"/>
    <w:rsid w:val="0096629C"/>
    <w:rsid w:val="00974184"/>
    <w:rsid w:val="00974D97"/>
    <w:rsid w:val="00975A3A"/>
    <w:rsid w:val="00976DB8"/>
    <w:rsid w:val="00977763"/>
    <w:rsid w:val="00982BA2"/>
    <w:rsid w:val="00986D02"/>
    <w:rsid w:val="00990381"/>
    <w:rsid w:val="00990E0C"/>
    <w:rsid w:val="009A03F7"/>
    <w:rsid w:val="009A0D1E"/>
    <w:rsid w:val="009B3C27"/>
    <w:rsid w:val="009B3CDC"/>
    <w:rsid w:val="009B49FA"/>
    <w:rsid w:val="009B6BA0"/>
    <w:rsid w:val="009C6170"/>
    <w:rsid w:val="009C6E3B"/>
    <w:rsid w:val="009D38F7"/>
    <w:rsid w:val="009E04F3"/>
    <w:rsid w:val="009E0CD2"/>
    <w:rsid w:val="009E3D9A"/>
    <w:rsid w:val="009F57A7"/>
    <w:rsid w:val="009F6258"/>
    <w:rsid w:val="009F6828"/>
    <w:rsid w:val="00A04CEE"/>
    <w:rsid w:val="00A04E3E"/>
    <w:rsid w:val="00A063D8"/>
    <w:rsid w:val="00A11AB0"/>
    <w:rsid w:val="00A16047"/>
    <w:rsid w:val="00A239CA"/>
    <w:rsid w:val="00A2501A"/>
    <w:rsid w:val="00A26311"/>
    <w:rsid w:val="00A27227"/>
    <w:rsid w:val="00A32701"/>
    <w:rsid w:val="00A36D19"/>
    <w:rsid w:val="00A420CE"/>
    <w:rsid w:val="00A425B6"/>
    <w:rsid w:val="00A55A11"/>
    <w:rsid w:val="00A570A3"/>
    <w:rsid w:val="00A574A0"/>
    <w:rsid w:val="00A61EE4"/>
    <w:rsid w:val="00A643CE"/>
    <w:rsid w:val="00A679BE"/>
    <w:rsid w:val="00A77F3B"/>
    <w:rsid w:val="00A9022A"/>
    <w:rsid w:val="00A9794E"/>
    <w:rsid w:val="00AA1DCF"/>
    <w:rsid w:val="00AA4077"/>
    <w:rsid w:val="00AA4A7B"/>
    <w:rsid w:val="00AA6296"/>
    <w:rsid w:val="00AB1C6F"/>
    <w:rsid w:val="00AB495F"/>
    <w:rsid w:val="00AC3561"/>
    <w:rsid w:val="00AC4ACC"/>
    <w:rsid w:val="00AD0DD4"/>
    <w:rsid w:val="00AD3306"/>
    <w:rsid w:val="00AD6051"/>
    <w:rsid w:val="00AE4E25"/>
    <w:rsid w:val="00AF6053"/>
    <w:rsid w:val="00AF640A"/>
    <w:rsid w:val="00B00886"/>
    <w:rsid w:val="00B14849"/>
    <w:rsid w:val="00B16824"/>
    <w:rsid w:val="00B2112F"/>
    <w:rsid w:val="00B21528"/>
    <w:rsid w:val="00B24EA5"/>
    <w:rsid w:val="00B25D0D"/>
    <w:rsid w:val="00B33E2D"/>
    <w:rsid w:val="00B52957"/>
    <w:rsid w:val="00B53A92"/>
    <w:rsid w:val="00B56114"/>
    <w:rsid w:val="00B659D6"/>
    <w:rsid w:val="00B65E26"/>
    <w:rsid w:val="00B71FC4"/>
    <w:rsid w:val="00B80CF7"/>
    <w:rsid w:val="00B81856"/>
    <w:rsid w:val="00B82B2B"/>
    <w:rsid w:val="00B91802"/>
    <w:rsid w:val="00B92069"/>
    <w:rsid w:val="00BA0175"/>
    <w:rsid w:val="00BA6F40"/>
    <w:rsid w:val="00BB2DDB"/>
    <w:rsid w:val="00BB4496"/>
    <w:rsid w:val="00BB6F7A"/>
    <w:rsid w:val="00BC4809"/>
    <w:rsid w:val="00BC49C6"/>
    <w:rsid w:val="00BC614B"/>
    <w:rsid w:val="00BD71AF"/>
    <w:rsid w:val="00BD7FB2"/>
    <w:rsid w:val="00BE2F82"/>
    <w:rsid w:val="00BE4103"/>
    <w:rsid w:val="00BE4E9D"/>
    <w:rsid w:val="00BE5611"/>
    <w:rsid w:val="00BF1B67"/>
    <w:rsid w:val="00BF3627"/>
    <w:rsid w:val="00BF4B8D"/>
    <w:rsid w:val="00C101C1"/>
    <w:rsid w:val="00C15D41"/>
    <w:rsid w:val="00C17484"/>
    <w:rsid w:val="00C216A2"/>
    <w:rsid w:val="00C2265A"/>
    <w:rsid w:val="00C30E2E"/>
    <w:rsid w:val="00C41776"/>
    <w:rsid w:val="00C4341E"/>
    <w:rsid w:val="00C44C1C"/>
    <w:rsid w:val="00C477B3"/>
    <w:rsid w:val="00C50A82"/>
    <w:rsid w:val="00C50AA5"/>
    <w:rsid w:val="00C52C3D"/>
    <w:rsid w:val="00C52D17"/>
    <w:rsid w:val="00C53D7F"/>
    <w:rsid w:val="00C626A0"/>
    <w:rsid w:val="00C63C36"/>
    <w:rsid w:val="00C67EAB"/>
    <w:rsid w:val="00C73CDE"/>
    <w:rsid w:val="00C81E55"/>
    <w:rsid w:val="00C85F7E"/>
    <w:rsid w:val="00C93A2A"/>
    <w:rsid w:val="00CA4CFA"/>
    <w:rsid w:val="00CA6372"/>
    <w:rsid w:val="00CB121C"/>
    <w:rsid w:val="00CB43BC"/>
    <w:rsid w:val="00CC55B5"/>
    <w:rsid w:val="00CC61C5"/>
    <w:rsid w:val="00CC6FE2"/>
    <w:rsid w:val="00CC7A91"/>
    <w:rsid w:val="00CD23F5"/>
    <w:rsid w:val="00CE2DCE"/>
    <w:rsid w:val="00CE7EAF"/>
    <w:rsid w:val="00CF7B8A"/>
    <w:rsid w:val="00D045FE"/>
    <w:rsid w:val="00D069D9"/>
    <w:rsid w:val="00D160D0"/>
    <w:rsid w:val="00D173D9"/>
    <w:rsid w:val="00D22362"/>
    <w:rsid w:val="00D253E9"/>
    <w:rsid w:val="00D31BBF"/>
    <w:rsid w:val="00D346BC"/>
    <w:rsid w:val="00D5056E"/>
    <w:rsid w:val="00D51ACB"/>
    <w:rsid w:val="00D53F77"/>
    <w:rsid w:val="00D56C59"/>
    <w:rsid w:val="00D63295"/>
    <w:rsid w:val="00D63AEF"/>
    <w:rsid w:val="00D84819"/>
    <w:rsid w:val="00D85AAA"/>
    <w:rsid w:val="00D86C83"/>
    <w:rsid w:val="00D933A2"/>
    <w:rsid w:val="00DA0348"/>
    <w:rsid w:val="00DB050C"/>
    <w:rsid w:val="00DB2819"/>
    <w:rsid w:val="00DB5B0F"/>
    <w:rsid w:val="00DC0865"/>
    <w:rsid w:val="00DC5F4B"/>
    <w:rsid w:val="00DD67EF"/>
    <w:rsid w:val="00DE3462"/>
    <w:rsid w:val="00DE483F"/>
    <w:rsid w:val="00DE5122"/>
    <w:rsid w:val="00DE5163"/>
    <w:rsid w:val="00DE539A"/>
    <w:rsid w:val="00DF0207"/>
    <w:rsid w:val="00DF0DC2"/>
    <w:rsid w:val="00DF4388"/>
    <w:rsid w:val="00DF5817"/>
    <w:rsid w:val="00E013D9"/>
    <w:rsid w:val="00E03707"/>
    <w:rsid w:val="00E16313"/>
    <w:rsid w:val="00E20B42"/>
    <w:rsid w:val="00E24ACD"/>
    <w:rsid w:val="00E256D5"/>
    <w:rsid w:val="00E326CB"/>
    <w:rsid w:val="00E32E01"/>
    <w:rsid w:val="00E336AE"/>
    <w:rsid w:val="00E368BA"/>
    <w:rsid w:val="00E4399B"/>
    <w:rsid w:val="00E46E8D"/>
    <w:rsid w:val="00E47F91"/>
    <w:rsid w:val="00E52EB1"/>
    <w:rsid w:val="00E56340"/>
    <w:rsid w:val="00E5717A"/>
    <w:rsid w:val="00E6069A"/>
    <w:rsid w:val="00E62AF2"/>
    <w:rsid w:val="00E636C2"/>
    <w:rsid w:val="00E66281"/>
    <w:rsid w:val="00E676CD"/>
    <w:rsid w:val="00E67FFE"/>
    <w:rsid w:val="00E70CB3"/>
    <w:rsid w:val="00E75511"/>
    <w:rsid w:val="00E76875"/>
    <w:rsid w:val="00E86DF2"/>
    <w:rsid w:val="00EB018D"/>
    <w:rsid w:val="00EB0EC2"/>
    <w:rsid w:val="00EB4741"/>
    <w:rsid w:val="00EB507F"/>
    <w:rsid w:val="00EB6043"/>
    <w:rsid w:val="00EC57BC"/>
    <w:rsid w:val="00ED4CB3"/>
    <w:rsid w:val="00ED7FA6"/>
    <w:rsid w:val="00EE0B2F"/>
    <w:rsid w:val="00EE582A"/>
    <w:rsid w:val="00EE58D6"/>
    <w:rsid w:val="00EE6AA0"/>
    <w:rsid w:val="00EF26A1"/>
    <w:rsid w:val="00EF2708"/>
    <w:rsid w:val="00EF2F35"/>
    <w:rsid w:val="00EF3612"/>
    <w:rsid w:val="00EF3A57"/>
    <w:rsid w:val="00EF575B"/>
    <w:rsid w:val="00F02BC8"/>
    <w:rsid w:val="00F04970"/>
    <w:rsid w:val="00F069B1"/>
    <w:rsid w:val="00F07D02"/>
    <w:rsid w:val="00F1093E"/>
    <w:rsid w:val="00F14171"/>
    <w:rsid w:val="00F15129"/>
    <w:rsid w:val="00F236F9"/>
    <w:rsid w:val="00F3696E"/>
    <w:rsid w:val="00F36F02"/>
    <w:rsid w:val="00F36FF6"/>
    <w:rsid w:val="00F40950"/>
    <w:rsid w:val="00F41492"/>
    <w:rsid w:val="00F43AF7"/>
    <w:rsid w:val="00F45E81"/>
    <w:rsid w:val="00F53259"/>
    <w:rsid w:val="00F75C32"/>
    <w:rsid w:val="00F9417E"/>
    <w:rsid w:val="00F9646A"/>
    <w:rsid w:val="00F96FF8"/>
    <w:rsid w:val="00FA314F"/>
    <w:rsid w:val="00FA3387"/>
    <w:rsid w:val="00FB2984"/>
    <w:rsid w:val="00FB769B"/>
    <w:rsid w:val="00FC1054"/>
    <w:rsid w:val="00FC1194"/>
    <w:rsid w:val="00FD05D9"/>
    <w:rsid w:val="00FE2F72"/>
    <w:rsid w:val="00FE395F"/>
    <w:rsid w:val="00FF135C"/>
    <w:rsid w:val="00FF1C7C"/>
    <w:rsid w:val="00FF46DA"/>
    <w:rsid w:val="00FF58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4A7A8D82"/>
  <w14:defaultImageDpi w14:val="0"/>
  <w15:docId w15:val="{E82DE11D-32E2-1F4D-A216-62743CD9A9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imes New Roman" w:hAnsi="Times New Roman" w:cs="Times New Roman"/>
        <w:sz w:val="22"/>
        <w:szCs w:val="22"/>
        <w:lang w:val="en-GB" w:eastAsia="en-GB"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uiPriority="10"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6573F"/>
    <w:pPr>
      <w:spacing w:before="60" w:after="60" w:line="260" w:lineRule="atLeast"/>
      <w:jc w:val="both"/>
    </w:pPr>
    <w:rPr>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rPr>
      <w:rFonts w:ascii="Tahoma" w:hAnsi="Tahoma" w:cs="Tahoma"/>
      <w:sz w:val="16"/>
      <w:szCs w:val="16"/>
      <w:lang w:val="de-DE" w:eastAsia="de-DE"/>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paragraph" w:styleId="FootnoteText">
    <w:name w:val="footnote text"/>
    <w:aliases w:val="Footnote Text Char"/>
    <w:basedOn w:val="Normal"/>
    <w:link w:val="FootnoteTextChar1"/>
    <w:uiPriority w:val="99"/>
    <w:semiHidden/>
    <w:rsid w:val="00641000"/>
    <w:rPr>
      <w:sz w:val="20"/>
      <w:szCs w:val="20"/>
    </w:rPr>
  </w:style>
  <w:style w:type="character" w:customStyle="1" w:styleId="FootnoteTextChar1">
    <w:name w:val="Footnote Text Char1"/>
    <w:aliases w:val="Footnote Text Char Char"/>
    <w:basedOn w:val="DefaultParagraphFont"/>
    <w:link w:val="FootnoteText"/>
    <w:uiPriority w:val="99"/>
    <w:semiHidden/>
    <w:locked/>
    <w:rPr>
      <w:rFonts w:cs="Times New Roman"/>
      <w:sz w:val="20"/>
      <w:szCs w:val="20"/>
    </w:rPr>
  </w:style>
  <w:style w:type="character" w:styleId="FootnoteReference">
    <w:name w:val="footnote reference"/>
    <w:basedOn w:val="DefaultParagraphFont"/>
    <w:uiPriority w:val="99"/>
    <w:semiHidden/>
    <w:rsid w:val="00641000"/>
    <w:rPr>
      <w:rFonts w:cs="Times New Roman"/>
      <w:vertAlign w:val="superscript"/>
    </w:rPr>
  </w:style>
  <w:style w:type="paragraph" w:styleId="Footer">
    <w:name w:val="footer"/>
    <w:basedOn w:val="Normal"/>
    <w:link w:val="FooterChar"/>
    <w:uiPriority w:val="99"/>
    <w:rsid w:val="00641000"/>
    <w:pPr>
      <w:tabs>
        <w:tab w:val="center" w:pos="4536"/>
        <w:tab w:val="right" w:pos="9072"/>
      </w:tabs>
    </w:pPr>
  </w:style>
  <w:style w:type="character" w:customStyle="1" w:styleId="FooterChar">
    <w:name w:val="Footer Char"/>
    <w:basedOn w:val="DefaultParagraphFont"/>
    <w:link w:val="Footer"/>
    <w:uiPriority w:val="99"/>
    <w:semiHidden/>
    <w:locked/>
    <w:rPr>
      <w:rFonts w:cs="Times New Roman"/>
      <w:sz w:val="24"/>
      <w:szCs w:val="24"/>
    </w:rPr>
  </w:style>
  <w:style w:type="character" w:styleId="PageNumber">
    <w:name w:val="page number"/>
    <w:basedOn w:val="DefaultParagraphFont"/>
    <w:uiPriority w:val="99"/>
    <w:rsid w:val="00641000"/>
    <w:rPr>
      <w:rFonts w:cs="Times New Roman"/>
    </w:rPr>
  </w:style>
  <w:style w:type="paragraph" w:styleId="Header">
    <w:name w:val="header"/>
    <w:basedOn w:val="Normal"/>
    <w:link w:val="HeaderChar"/>
    <w:uiPriority w:val="99"/>
    <w:rsid w:val="00641000"/>
    <w:pPr>
      <w:tabs>
        <w:tab w:val="center" w:pos="4536"/>
        <w:tab w:val="right" w:pos="9072"/>
      </w:tabs>
    </w:pPr>
  </w:style>
  <w:style w:type="character" w:customStyle="1" w:styleId="HeaderChar">
    <w:name w:val="Header Char"/>
    <w:basedOn w:val="DefaultParagraphFont"/>
    <w:link w:val="Header"/>
    <w:uiPriority w:val="99"/>
    <w:semiHidden/>
    <w:locked/>
    <w:rPr>
      <w:rFonts w:cs="Times New Roman"/>
      <w:sz w:val="24"/>
      <w:szCs w:val="24"/>
    </w:rPr>
  </w:style>
  <w:style w:type="paragraph" w:styleId="Title">
    <w:name w:val="Title"/>
    <w:basedOn w:val="Normal"/>
    <w:link w:val="TitleChar"/>
    <w:uiPriority w:val="99"/>
    <w:qFormat/>
    <w:rsid w:val="00641000"/>
    <w:pPr>
      <w:jc w:val="center"/>
    </w:pPr>
    <w:rPr>
      <w:b/>
      <w:bCs/>
      <w:lang w:eastAsia="de-DE"/>
    </w:rPr>
  </w:style>
  <w:style w:type="character" w:customStyle="1" w:styleId="TitleChar">
    <w:name w:val="Title Char"/>
    <w:basedOn w:val="DefaultParagraphFont"/>
    <w:link w:val="Title"/>
    <w:uiPriority w:val="10"/>
    <w:locked/>
    <w:rPr>
      <w:rFonts w:asciiTheme="majorHAnsi" w:eastAsiaTheme="majorEastAsia" w:hAnsiTheme="majorHAnsi" w:cs="Times New Roman"/>
      <w:b/>
      <w:bCs/>
      <w:kern w:val="28"/>
      <w:sz w:val="32"/>
      <w:szCs w:val="32"/>
    </w:rPr>
  </w:style>
  <w:style w:type="character" w:styleId="Hyperlink">
    <w:name w:val="Hyperlink"/>
    <w:basedOn w:val="DefaultParagraphFont"/>
    <w:uiPriority w:val="99"/>
    <w:rsid w:val="00641000"/>
    <w:rPr>
      <w:rFonts w:cs="Times New Roman"/>
      <w:color w:val="0000FF"/>
      <w:u w:val="single"/>
    </w:rPr>
  </w:style>
  <w:style w:type="paragraph" w:customStyle="1" w:styleId="CharChar1Char1CharChar">
    <w:name w:val="Char Char1 Char1 Char Char"/>
    <w:basedOn w:val="Normal"/>
    <w:uiPriority w:val="99"/>
    <w:rsid w:val="00B92069"/>
    <w:pPr>
      <w:spacing w:after="160" w:line="240" w:lineRule="exact"/>
    </w:pPr>
    <w:rPr>
      <w:rFonts w:ascii="Tahoma" w:hAnsi="Tahoma" w:cs="Tahoma"/>
      <w:sz w:val="20"/>
      <w:szCs w:val="20"/>
      <w:lang w:val="en-US" w:eastAsia="en-US"/>
    </w:rPr>
  </w:style>
  <w:style w:type="table" w:styleId="TableGrid">
    <w:name w:val="Table Grid"/>
    <w:basedOn w:val="TableNormal"/>
    <w:uiPriority w:val="99"/>
    <w:rsid w:val="00B92069"/>
    <w:pPr>
      <w:spacing w:after="0" w:line="240" w:lineRule="auto"/>
    </w:pPr>
    <w:rPr>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rsid w:val="00A27227"/>
    <w:rPr>
      <w:rFonts w:cs="Times New Roman"/>
      <w:color w:val="800080"/>
      <w:u w:val="single"/>
    </w:rPr>
  </w:style>
  <w:style w:type="character" w:styleId="CommentReference">
    <w:name w:val="annotation reference"/>
    <w:basedOn w:val="DefaultParagraphFont"/>
    <w:uiPriority w:val="99"/>
    <w:semiHidden/>
    <w:rsid w:val="00E20B42"/>
    <w:rPr>
      <w:rFonts w:cs="Times New Roman"/>
      <w:sz w:val="16"/>
      <w:szCs w:val="16"/>
    </w:rPr>
  </w:style>
  <w:style w:type="paragraph" w:styleId="CommentText">
    <w:name w:val="annotation text"/>
    <w:basedOn w:val="Normal"/>
    <w:link w:val="CommentTextChar"/>
    <w:uiPriority w:val="99"/>
    <w:semiHidden/>
    <w:rsid w:val="00E20B42"/>
    <w:rPr>
      <w:sz w:val="20"/>
      <w:szCs w:val="20"/>
    </w:rPr>
  </w:style>
  <w:style w:type="character" w:customStyle="1" w:styleId="CommentTextChar">
    <w:name w:val="Comment Text Char"/>
    <w:basedOn w:val="DefaultParagraphFont"/>
    <w:link w:val="CommentText"/>
    <w:uiPriority w:val="99"/>
    <w:semiHidden/>
    <w:locked/>
    <w:rPr>
      <w:rFonts w:cs="Times New Roman"/>
      <w:sz w:val="20"/>
      <w:szCs w:val="20"/>
    </w:rPr>
  </w:style>
  <w:style w:type="paragraph" w:styleId="CommentSubject">
    <w:name w:val="annotation subject"/>
    <w:basedOn w:val="CommentText"/>
    <w:next w:val="CommentText"/>
    <w:link w:val="CommentSubjectChar"/>
    <w:uiPriority w:val="99"/>
    <w:semiHidden/>
    <w:rsid w:val="00E20B42"/>
    <w:rPr>
      <w:b/>
      <w:bCs/>
    </w:rPr>
  </w:style>
  <w:style w:type="character" w:customStyle="1" w:styleId="CommentSubjectChar">
    <w:name w:val="Comment Subject Char"/>
    <w:basedOn w:val="CommentTextChar"/>
    <w:link w:val="CommentSubject"/>
    <w:uiPriority w:val="99"/>
    <w:semiHidden/>
    <w:locked/>
    <w:rPr>
      <w:rFonts w:cs="Times New Roman"/>
      <w:b/>
      <w:bCs/>
      <w:sz w:val="20"/>
      <w:szCs w:val="20"/>
    </w:rPr>
  </w:style>
  <w:style w:type="character" w:styleId="Strong">
    <w:name w:val="Strong"/>
    <w:basedOn w:val="DefaultParagraphFont"/>
    <w:uiPriority w:val="99"/>
    <w:qFormat/>
    <w:rsid w:val="005565C3"/>
    <w:rPr>
      <w:rFonts w:cs="Times New Roman"/>
      <w:b/>
      <w:bCs/>
    </w:rPr>
  </w:style>
  <w:style w:type="paragraph" w:styleId="Revision">
    <w:name w:val="Revision"/>
    <w:hidden/>
    <w:uiPriority w:val="99"/>
    <w:semiHidden/>
    <w:rsid w:val="00142A93"/>
    <w:pPr>
      <w:spacing w:after="0" w:line="240" w:lineRule="auto"/>
    </w:pPr>
    <w:rPr>
      <w:sz w:val="24"/>
      <w:szCs w:val="24"/>
    </w:rPr>
  </w:style>
  <w:style w:type="paragraph" w:customStyle="1" w:styleId="Hdng1">
    <w:name w:val="Hdng1"/>
    <w:basedOn w:val="Normal"/>
    <w:next w:val="Normal"/>
    <w:autoRedefine/>
    <w:qFormat/>
    <w:rsid w:val="0083513C"/>
    <w:pPr>
      <w:spacing w:after="0"/>
      <w:ind w:left="284" w:hanging="284"/>
      <w:outlineLvl w:val="0"/>
    </w:pPr>
    <w:rPr>
      <w:b/>
      <w:color w:val="1F497D" w:themeColor="text2"/>
      <w:szCs w:val="22"/>
    </w:rPr>
  </w:style>
  <w:style w:type="paragraph" w:customStyle="1" w:styleId="LdAthr">
    <w:name w:val="LdAthr"/>
    <w:basedOn w:val="Normal"/>
    <w:qFormat/>
    <w:rsid w:val="00DF0DC2"/>
    <w:pPr>
      <w:ind w:firstLine="284"/>
      <w:outlineLvl w:val="0"/>
    </w:pPr>
    <w:rPr>
      <w:b/>
    </w:rPr>
  </w:style>
  <w:style w:type="paragraph" w:customStyle="1" w:styleId="NxtPara">
    <w:name w:val="NxtPara"/>
    <w:basedOn w:val="Normal"/>
    <w:qFormat/>
    <w:rsid w:val="00DF0DC2"/>
    <w:pPr>
      <w:ind w:firstLine="210"/>
    </w:pPr>
  </w:style>
  <w:style w:type="paragraph" w:customStyle="1" w:styleId="Hdng2">
    <w:name w:val="Hdng2"/>
    <w:basedOn w:val="Normal"/>
    <w:next w:val="Normal"/>
    <w:autoRedefine/>
    <w:qFormat/>
    <w:rsid w:val="008E7D4B"/>
    <w:pPr>
      <w:spacing w:after="0"/>
      <w:ind w:left="284" w:hanging="284"/>
    </w:pPr>
    <w:rPr>
      <w:b/>
      <w:i/>
      <w:color w:val="4F81BD" w:themeColor="accent1"/>
      <w:szCs w:val="22"/>
      <w:u w:val="single"/>
    </w:rPr>
  </w:style>
  <w:style w:type="paragraph" w:customStyle="1" w:styleId="Hdng3">
    <w:name w:val="Hdng3"/>
    <w:basedOn w:val="Normal"/>
    <w:next w:val="Normal"/>
    <w:autoRedefine/>
    <w:qFormat/>
    <w:rsid w:val="00CA4CFA"/>
  </w:style>
  <w:style w:type="paragraph" w:styleId="ListParagraph">
    <w:name w:val="List Paragraph"/>
    <w:basedOn w:val="Normal"/>
    <w:uiPriority w:val="34"/>
    <w:qFormat/>
    <w:rsid w:val="000F259A"/>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3073811">
      <w:marLeft w:val="0"/>
      <w:marRight w:val="0"/>
      <w:marTop w:val="0"/>
      <w:marBottom w:val="0"/>
      <w:divBdr>
        <w:top w:val="none" w:sz="0" w:space="0" w:color="auto"/>
        <w:left w:val="none" w:sz="0" w:space="0" w:color="auto"/>
        <w:bottom w:val="none" w:sz="0" w:space="0" w:color="auto"/>
        <w:right w:val="none" w:sz="0" w:space="0" w:color="auto"/>
      </w:divBdr>
    </w:div>
    <w:div w:id="353073812">
      <w:marLeft w:val="0"/>
      <w:marRight w:val="0"/>
      <w:marTop w:val="0"/>
      <w:marBottom w:val="0"/>
      <w:divBdr>
        <w:top w:val="none" w:sz="0" w:space="0" w:color="auto"/>
        <w:left w:val="none" w:sz="0" w:space="0" w:color="auto"/>
        <w:bottom w:val="none" w:sz="0" w:space="0" w:color="auto"/>
        <w:right w:val="none" w:sz="0" w:space="0" w:color="auto"/>
      </w:divBdr>
    </w:div>
    <w:div w:id="353073813">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5EEBAB3-617D-41DB-A837-349BFFE6AAA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304</TotalTime>
  <Pages>8</Pages>
  <Words>4568</Words>
  <Characters>26039</Characters>
  <Application>Microsoft Office Word</Application>
  <DocSecurity>0</DocSecurity>
  <Lines>216</Lines>
  <Paragraphs>61</Paragraphs>
  <ScaleCrop>false</ScaleCrop>
  <HeadingPairs>
    <vt:vector size="2" baseType="variant">
      <vt:variant>
        <vt:lpstr>Title</vt:lpstr>
      </vt:variant>
      <vt:variant>
        <vt:i4>1</vt:i4>
      </vt:variant>
    </vt:vector>
  </HeadingPairs>
  <TitlesOfParts>
    <vt:vector size="1" baseType="lpstr">
      <vt:lpstr>ERC Advanced Grant</vt:lpstr>
    </vt:vector>
  </TitlesOfParts>
  <Company>European Commission</Company>
  <LinksUpToDate>false</LinksUpToDate>
  <CharactersWithSpaces>30546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ERC Advanced Grant</dc:title>
  <dc:subject/>
  <dc:creator>bitsami;Bezzan Joelle (ERCEA)</dc:creator>
  <cp:keywords/>
  <dc:description/>
  <cp:lastModifiedBy>Kenneth Long</cp:lastModifiedBy>
  <cp:revision>35</cp:revision>
  <cp:lastPrinted>2019-05-28T10:09:00Z</cp:lastPrinted>
  <dcterms:created xsi:type="dcterms:W3CDTF">2020-08-03T08:12:00Z</dcterms:created>
  <dcterms:modified xsi:type="dcterms:W3CDTF">2020-08-04T11:26:00Z</dcterms:modified>
</cp:coreProperties>
</file>